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FC305" w14:textId="77777777" w:rsidR="00B44903" w:rsidRPr="00B44903" w:rsidRDefault="00B44903" w:rsidP="00590FB7">
      <w:pPr>
        <w:rPr>
          <w:rFonts w:eastAsiaTheme="minorEastAsia"/>
          <w:sz w:val="28"/>
          <w:szCs w:val="28"/>
          <w:lang w:eastAsia="ja-JP"/>
        </w:rPr>
      </w:pPr>
      <w:r w:rsidRPr="00B44903">
        <w:rPr>
          <w:rFonts w:eastAsiaTheme="minorEastAsia"/>
          <w:b/>
          <w:sz w:val="28"/>
          <w:szCs w:val="28"/>
          <w:lang w:eastAsia="ja-JP"/>
        </w:rPr>
        <w:t>Tax Strategy</w:t>
      </w:r>
    </w:p>
    <w:p w14:paraId="56BA265C" w14:textId="77777777" w:rsidR="00B307E3" w:rsidRPr="00B44903" w:rsidRDefault="00B307E3" w:rsidP="00B307E3">
      <w:pPr>
        <w:rPr>
          <w:rFonts w:eastAsiaTheme="minorEastAsia"/>
          <w:b/>
          <w:sz w:val="24"/>
          <w:szCs w:val="24"/>
          <w:lang w:eastAsia="ja-JP"/>
        </w:rPr>
      </w:pPr>
      <w:r w:rsidRPr="00B44903">
        <w:rPr>
          <w:rFonts w:eastAsiaTheme="minorEastAsia"/>
          <w:b/>
          <w:sz w:val="24"/>
          <w:szCs w:val="24"/>
          <w:lang w:eastAsia="ja-JP"/>
        </w:rPr>
        <w:t>Tokio Marine HCC</w:t>
      </w:r>
      <w:r w:rsidRPr="00B44903">
        <w:rPr>
          <w:rFonts w:eastAsiaTheme="minorEastAsia"/>
          <w:b/>
          <w:sz w:val="24"/>
          <w:szCs w:val="24"/>
          <w:vertAlign w:val="superscript"/>
          <w:lang w:eastAsia="ja-JP"/>
        </w:rPr>
        <w:t>1</w:t>
      </w:r>
      <w:r w:rsidRPr="00B44903">
        <w:rPr>
          <w:rFonts w:eastAsiaTheme="minorEastAsia"/>
          <w:b/>
          <w:sz w:val="24"/>
          <w:szCs w:val="24"/>
          <w:lang w:eastAsia="ja-JP"/>
        </w:rPr>
        <w:t xml:space="preserve"> Tax Strategy</w:t>
      </w:r>
    </w:p>
    <w:p w14:paraId="1010D316" w14:textId="3D637C65" w:rsidR="00B44903" w:rsidRDefault="00B44903" w:rsidP="00E4090A">
      <w:pPr>
        <w:spacing w:after="0" w:line="240" w:lineRule="auto"/>
        <w:rPr>
          <w:rFonts w:eastAsiaTheme="minorEastAsia"/>
          <w:sz w:val="20"/>
          <w:szCs w:val="20"/>
          <w:lang w:eastAsia="ja-JP"/>
        </w:rPr>
      </w:pPr>
      <w:r w:rsidRPr="00B44903">
        <w:rPr>
          <w:rFonts w:eastAsiaTheme="minorEastAsia"/>
          <w:sz w:val="20"/>
          <w:szCs w:val="20"/>
          <w:lang w:eastAsia="ja-JP"/>
        </w:rPr>
        <w:t>This Tax Strategy details the approach taken in relation to ensuring that the UK tax obligations of Tokio Marine HCC are understood, properly managed and complied with.  This Tax Strategy applies to all UK taxes applicable to Tokio Marine HCC and the document is owned by the Boards of Directors</w:t>
      </w:r>
      <w:r w:rsidR="002A4C3C">
        <w:rPr>
          <w:rFonts w:eastAsiaTheme="minorEastAsia"/>
          <w:sz w:val="20"/>
          <w:szCs w:val="20"/>
          <w:lang w:eastAsia="ja-JP"/>
        </w:rPr>
        <w:t xml:space="preserve"> </w:t>
      </w:r>
      <w:r w:rsidR="00CE52D2">
        <w:rPr>
          <w:rFonts w:eastAsiaTheme="minorEastAsia"/>
          <w:sz w:val="20"/>
          <w:szCs w:val="20"/>
          <w:lang w:eastAsia="ja-JP"/>
        </w:rPr>
        <w:t xml:space="preserve">for the </w:t>
      </w:r>
      <w:r w:rsidR="00902C5C" w:rsidRPr="00CE52D2">
        <w:rPr>
          <w:rFonts w:eastAsiaTheme="minorEastAsia"/>
          <w:sz w:val="20"/>
          <w:szCs w:val="20"/>
          <w:lang w:eastAsia="ja-JP"/>
        </w:rPr>
        <w:t>Com</w:t>
      </w:r>
      <w:r w:rsidR="00CE52D2" w:rsidRPr="00CE52D2">
        <w:rPr>
          <w:rFonts w:eastAsiaTheme="minorEastAsia"/>
          <w:sz w:val="20"/>
          <w:szCs w:val="20"/>
          <w:lang w:eastAsia="ja-JP"/>
        </w:rPr>
        <w:t xml:space="preserve">panies listed at the bottom of </w:t>
      </w:r>
      <w:r w:rsidR="00704A47">
        <w:rPr>
          <w:rFonts w:eastAsiaTheme="minorEastAsia"/>
          <w:sz w:val="20"/>
          <w:szCs w:val="20"/>
          <w:lang w:eastAsia="ja-JP"/>
        </w:rPr>
        <w:t>this document.</w:t>
      </w:r>
      <w:r w:rsidR="00CE52D2" w:rsidRPr="00CE52D2">
        <w:rPr>
          <w:rFonts w:eastAsiaTheme="minorEastAsia"/>
          <w:sz w:val="20"/>
          <w:szCs w:val="20"/>
          <w:lang w:eastAsia="ja-JP"/>
        </w:rPr>
        <w:t xml:space="preserve"> </w:t>
      </w:r>
    </w:p>
    <w:p w14:paraId="04081C85" w14:textId="77777777" w:rsidR="00D63A71" w:rsidRPr="001F62C3" w:rsidRDefault="00D63A71" w:rsidP="00E4090A">
      <w:pPr>
        <w:spacing w:after="0" w:line="240" w:lineRule="auto"/>
        <w:rPr>
          <w:rFonts w:eastAsiaTheme="minorEastAsia"/>
          <w:sz w:val="20"/>
          <w:szCs w:val="20"/>
          <w:lang w:eastAsia="ja-JP"/>
        </w:rPr>
      </w:pPr>
    </w:p>
    <w:p w14:paraId="707EB860" w14:textId="77777777" w:rsidR="00B44903" w:rsidRPr="00B44903" w:rsidRDefault="00B44903" w:rsidP="00B44903">
      <w:pPr>
        <w:rPr>
          <w:rFonts w:eastAsiaTheme="minorEastAsia"/>
          <w:sz w:val="20"/>
          <w:szCs w:val="20"/>
          <w:lang w:eastAsia="ja-JP"/>
        </w:rPr>
      </w:pPr>
      <w:r w:rsidRPr="00B44903">
        <w:rPr>
          <w:rFonts w:eastAsiaTheme="minorEastAsia"/>
          <w:sz w:val="20"/>
          <w:szCs w:val="20"/>
          <w:lang w:eastAsia="ja-JP"/>
        </w:rPr>
        <w:t>Tokio Marine HCC operates its business responsibly, complying with all local laws and regulations that govern its operations, whilst seeking to be fair, honest and transparent in dealings with all of its stakeholders.  Its Tax Strategy is consistent with this approach.</w:t>
      </w:r>
    </w:p>
    <w:p w14:paraId="48741C5B" w14:textId="77777777" w:rsidR="00B44903" w:rsidRPr="00B44903" w:rsidRDefault="00B44903" w:rsidP="00B44903">
      <w:pPr>
        <w:rPr>
          <w:rFonts w:eastAsiaTheme="minorEastAsia"/>
          <w:b/>
          <w:sz w:val="24"/>
          <w:szCs w:val="24"/>
          <w:lang w:eastAsia="ja-JP"/>
        </w:rPr>
      </w:pPr>
      <w:r w:rsidRPr="00B44903">
        <w:rPr>
          <w:rFonts w:eastAsiaTheme="minorEastAsia"/>
          <w:b/>
          <w:sz w:val="24"/>
          <w:szCs w:val="24"/>
          <w:lang w:eastAsia="ja-JP"/>
        </w:rPr>
        <w:t>Approach to UK tax risk management</w:t>
      </w:r>
    </w:p>
    <w:p w14:paraId="2970B50A" w14:textId="055FDAD7" w:rsidR="00B44903" w:rsidRPr="00B44903" w:rsidRDefault="00B44903" w:rsidP="00B44903">
      <w:pPr>
        <w:rPr>
          <w:rFonts w:eastAsiaTheme="minorEastAsia"/>
          <w:sz w:val="20"/>
          <w:szCs w:val="20"/>
          <w:lang w:eastAsia="ja-JP"/>
        </w:rPr>
      </w:pPr>
      <w:r w:rsidRPr="00B44903">
        <w:rPr>
          <w:rFonts w:eastAsiaTheme="minorEastAsia"/>
          <w:sz w:val="20"/>
          <w:szCs w:val="20"/>
          <w:lang w:eastAsia="ja-JP"/>
        </w:rPr>
        <w:t xml:space="preserve">Tokio Marine HCC has a strong risk reporting and risk governance system in place to ensure effective risk management of financial, operational and </w:t>
      </w:r>
      <w:r w:rsidRPr="00E4090A">
        <w:rPr>
          <w:rFonts w:eastAsiaTheme="minorEastAsia"/>
          <w:sz w:val="20"/>
          <w:szCs w:val="20"/>
          <w:lang w:eastAsia="ja-JP"/>
        </w:rPr>
        <w:t xml:space="preserve">regulatory </w:t>
      </w:r>
      <w:r w:rsidR="008646D1" w:rsidRPr="00E4090A">
        <w:rPr>
          <w:rFonts w:eastAsiaTheme="minorEastAsia"/>
          <w:sz w:val="20"/>
          <w:szCs w:val="20"/>
          <w:lang w:eastAsia="ja-JP"/>
        </w:rPr>
        <w:t>areas</w:t>
      </w:r>
      <w:r w:rsidRPr="00E4090A">
        <w:rPr>
          <w:rFonts w:eastAsiaTheme="minorEastAsia"/>
          <w:sz w:val="20"/>
          <w:szCs w:val="20"/>
          <w:lang w:eastAsia="ja-JP"/>
        </w:rPr>
        <w:t>.</w:t>
      </w:r>
      <w:r w:rsidRPr="00B44903">
        <w:rPr>
          <w:rFonts w:eastAsiaTheme="minorEastAsia"/>
          <w:sz w:val="20"/>
          <w:szCs w:val="20"/>
          <w:lang w:eastAsia="ja-JP"/>
        </w:rPr>
        <w:t xml:space="preserve">  Management of tax risks is undertaken consistent</w:t>
      </w:r>
      <w:r w:rsidR="008646D1">
        <w:rPr>
          <w:rFonts w:eastAsiaTheme="minorEastAsia"/>
          <w:sz w:val="20"/>
          <w:szCs w:val="20"/>
          <w:lang w:eastAsia="ja-JP"/>
        </w:rPr>
        <w:t xml:space="preserve">ly </w:t>
      </w:r>
      <w:r w:rsidRPr="00B44903">
        <w:rPr>
          <w:rFonts w:eastAsiaTheme="minorEastAsia"/>
          <w:sz w:val="20"/>
          <w:szCs w:val="20"/>
          <w:lang w:eastAsia="ja-JP"/>
        </w:rPr>
        <w:t>with the management of other risks.</w:t>
      </w:r>
    </w:p>
    <w:p w14:paraId="63DDFC46" w14:textId="495B0DD9" w:rsidR="00B44903" w:rsidRPr="00B44903" w:rsidRDefault="00B44903" w:rsidP="00B44903">
      <w:pPr>
        <w:rPr>
          <w:rFonts w:eastAsiaTheme="minorEastAsia"/>
          <w:sz w:val="20"/>
          <w:szCs w:val="20"/>
          <w:lang w:eastAsia="ja-JP"/>
        </w:rPr>
      </w:pPr>
      <w:r w:rsidRPr="00B44903">
        <w:rPr>
          <w:rFonts w:eastAsiaTheme="minorEastAsia"/>
          <w:sz w:val="20"/>
          <w:szCs w:val="20"/>
          <w:lang w:eastAsia="ja-JP"/>
        </w:rPr>
        <w:t xml:space="preserve">The Chief Financial Officer is accountable, under the Senior Accounting Officer regime, for ensuring that Tokio Marine HCC has appropriate tax accounting arrangements in place.  Tax is part of Tokio Marine HCC’s Finance function with </w:t>
      </w:r>
      <w:r w:rsidR="00C2005B" w:rsidRPr="00B44903">
        <w:rPr>
          <w:rFonts w:eastAsiaTheme="minorEastAsia"/>
          <w:sz w:val="20"/>
          <w:szCs w:val="20"/>
          <w:lang w:eastAsia="ja-JP"/>
        </w:rPr>
        <w:t>day-to-day</w:t>
      </w:r>
      <w:r w:rsidRPr="00B44903">
        <w:rPr>
          <w:rFonts w:eastAsiaTheme="minorEastAsia"/>
          <w:sz w:val="20"/>
          <w:szCs w:val="20"/>
          <w:lang w:eastAsia="ja-JP"/>
        </w:rPr>
        <w:t xml:space="preserve"> matters undertaken by the Tax Team. </w:t>
      </w:r>
    </w:p>
    <w:p w14:paraId="5623F9BF" w14:textId="389DEAD3" w:rsidR="00B44903" w:rsidRPr="00B44903" w:rsidRDefault="00B44903" w:rsidP="00B44903">
      <w:pPr>
        <w:rPr>
          <w:rFonts w:eastAsiaTheme="minorEastAsia"/>
          <w:sz w:val="20"/>
          <w:szCs w:val="20"/>
          <w:lang w:eastAsia="ja-JP"/>
        </w:rPr>
      </w:pPr>
      <w:r w:rsidRPr="00B44903">
        <w:rPr>
          <w:rFonts w:eastAsiaTheme="minorEastAsia"/>
          <w:sz w:val="20"/>
          <w:szCs w:val="20"/>
          <w:lang w:eastAsia="ja-JP"/>
        </w:rPr>
        <w:t>The Tax Team, consisting of tax professionals, liaises with key internal stakeholders, including Underwriting, Claims, Finance and HR, to identify, assess and control tax risks that arise as a result of Tokio Marine HCC’s size, complexity and the nature of its business or transactions. External advice is sought on</w:t>
      </w:r>
      <w:r w:rsidR="00ED052A">
        <w:rPr>
          <w:rFonts w:eastAsiaTheme="minorEastAsia"/>
          <w:sz w:val="20"/>
          <w:szCs w:val="20"/>
          <w:lang w:eastAsia="ja-JP"/>
        </w:rPr>
        <w:t xml:space="preserve"> complex technical issues </w:t>
      </w:r>
      <w:r w:rsidRPr="00B44903">
        <w:rPr>
          <w:rFonts w:eastAsiaTheme="minorEastAsia"/>
          <w:sz w:val="20"/>
          <w:szCs w:val="20"/>
          <w:lang w:eastAsia="ja-JP"/>
        </w:rPr>
        <w:t xml:space="preserve">or uncertain matters.  </w:t>
      </w:r>
    </w:p>
    <w:p w14:paraId="3D30F8F1" w14:textId="0C0EB28B" w:rsidR="00B44903" w:rsidRDefault="00B44903" w:rsidP="00B44903">
      <w:pPr>
        <w:rPr>
          <w:rFonts w:eastAsiaTheme="minorEastAsia"/>
          <w:sz w:val="20"/>
          <w:szCs w:val="20"/>
          <w:lang w:eastAsia="ja-JP"/>
        </w:rPr>
      </w:pPr>
      <w:r w:rsidRPr="00B44903">
        <w:rPr>
          <w:rFonts w:eastAsiaTheme="minorEastAsia"/>
          <w:sz w:val="20"/>
          <w:szCs w:val="20"/>
          <w:lang w:eastAsia="ja-JP"/>
        </w:rPr>
        <w:t>Controls and procedures are in place to mitigate the risk of inaccurate or late</w:t>
      </w:r>
      <w:r w:rsidR="00ED052A">
        <w:rPr>
          <w:rFonts w:eastAsiaTheme="minorEastAsia"/>
          <w:sz w:val="20"/>
          <w:szCs w:val="20"/>
          <w:lang w:eastAsia="ja-JP"/>
        </w:rPr>
        <w:t xml:space="preserve"> submission of </w:t>
      </w:r>
      <w:r w:rsidRPr="00B44903">
        <w:rPr>
          <w:rFonts w:eastAsiaTheme="minorEastAsia"/>
          <w:sz w:val="20"/>
          <w:szCs w:val="20"/>
          <w:lang w:eastAsia="ja-JP"/>
        </w:rPr>
        <w:t>tax returns and</w:t>
      </w:r>
      <w:r w:rsidR="00C2005B">
        <w:rPr>
          <w:rFonts w:eastAsiaTheme="minorEastAsia"/>
          <w:sz w:val="20"/>
          <w:szCs w:val="20"/>
          <w:lang w:eastAsia="ja-JP"/>
        </w:rPr>
        <w:t xml:space="preserve"> </w:t>
      </w:r>
      <w:r w:rsidRPr="00B44903">
        <w:rPr>
          <w:rFonts w:eastAsiaTheme="minorEastAsia"/>
          <w:sz w:val="20"/>
          <w:szCs w:val="20"/>
          <w:lang w:eastAsia="ja-JP"/>
        </w:rPr>
        <w:t xml:space="preserve">tax payments and we are committed to compliance with UK tax law and practice.  </w:t>
      </w:r>
      <w:r w:rsidR="00E5529C">
        <w:rPr>
          <w:rFonts w:eastAsiaTheme="minorEastAsia"/>
          <w:sz w:val="20"/>
          <w:szCs w:val="20"/>
          <w:lang w:eastAsia="ja-JP"/>
        </w:rPr>
        <w:t xml:space="preserve">Changes to UK legislation are monitored and </w:t>
      </w:r>
      <w:r w:rsidR="00642C02">
        <w:rPr>
          <w:rFonts w:eastAsiaTheme="minorEastAsia"/>
          <w:sz w:val="20"/>
          <w:szCs w:val="20"/>
          <w:lang w:eastAsia="ja-JP"/>
        </w:rPr>
        <w:t xml:space="preserve">where necessary </w:t>
      </w:r>
      <w:r w:rsidR="00E5529C">
        <w:rPr>
          <w:rFonts w:eastAsiaTheme="minorEastAsia"/>
          <w:sz w:val="20"/>
          <w:szCs w:val="20"/>
          <w:lang w:eastAsia="ja-JP"/>
        </w:rPr>
        <w:t xml:space="preserve">procedures are updated to reflect changes. </w:t>
      </w:r>
    </w:p>
    <w:p w14:paraId="01007E40" w14:textId="77777777" w:rsidR="00C2005B" w:rsidRPr="00B44903" w:rsidRDefault="00C2005B" w:rsidP="00B44903">
      <w:pPr>
        <w:rPr>
          <w:rFonts w:eastAsiaTheme="minorEastAsia"/>
          <w:sz w:val="20"/>
          <w:szCs w:val="20"/>
          <w:lang w:eastAsia="ja-JP"/>
        </w:rPr>
      </w:pPr>
    </w:p>
    <w:p w14:paraId="1ACB0640" w14:textId="77777777" w:rsidR="00B44903" w:rsidRPr="00B44903" w:rsidRDefault="00B44903" w:rsidP="00B44903">
      <w:pPr>
        <w:rPr>
          <w:rFonts w:eastAsiaTheme="minorEastAsia"/>
          <w:b/>
          <w:sz w:val="24"/>
          <w:szCs w:val="24"/>
          <w:lang w:eastAsia="ja-JP"/>
        </w:rPr>
      </w:pPr>
      <w:r w:rsidRPr="00B44903">
        <w:rPr>
          <w:rFonts w:eastAsiaTheme="minorEastAsia"/>
          <w:b/>
          <w:sz w:val="24"/>
          <w:szCs w:val="24"/>
          <w:lang w:eastAsia="ja-JP"/>
        </w:rPr>
        <w:t>Approach to UK tax planning</w:t>
      </w:r>
    </w:p>
    <w:p w14:paraId="79BB90C6" w14:textId="2AE44455" w:rsidR="00B44903" w:rsidRPr="00B44903" w:rsidRDefault="00B44903" w:rsidP="00B44903">
      <w:pPr>
        <w:rPr>
          <w:rFonts w:eastAsiaTheme="minorEastAsia"/>
          <w:sz w:val="20"/>
          <w:szCs w:val="20"/>
          <w:lang w:eastAsia="ja-JP"/>
        </w:rPr>
      </w:pPr>
      <w:r w:rsidRPr="00B44903">
        <w:rPr>
          <w:rFonts w:eastAsiaTheme="minorEastAsia"/>
          <w:sz w:val="20"/>
          <w:szCs w:val="20"/>
          <w:lang w:eastAsia="ja-JP"/>
        </w:rPr>
        <w:t>Tokio Marine HCC does not engage in UK tax planning that solely relates to the avoidance of tax or that involves an aggressive interpretation of tax law.  It does consider tax planning involving tax incentives or opportunities intended through UK government policy.  Where there are ambiguities or a technical tax position is not clear, we will consult with external advisors and/or HMRC, where appropriate, with a view to following the correct treatment under tax law.</w:t>
      </w:r>
    </w:p>
    <w:p w14:paraId="377D49CE" w14:textId="77777777" w:rsidR="00C2005B" w:rsidRDefault="00C2005B" w:rsidP="00B44903">
      <w:pPr>
        <w:rPr>
          <w:rFonts w:eastAsiaTheme="minorEastAsia"/>
          <w:b/>
          <w:sz w:val="20"/>
          <w:szCs w:val="20"/>
          <w:lang w:eastAsia="ja-JP"/>
        </w:rPr>
      </w:pPr>
    </w:p>
    <w:p w14:paraId="09295832" w14:textId="2B0EF598" w:rsidR="00B44903" w:rsidRPr="00B44903" w:rsidRDefault="00B44903" w:rsidP="00B44903">
      <w:pPr>
        <w:rPr>
          <w:rFonts w:eastAsiaTheme="minorEastAsia"/>
          <w:b/>
          <w:sz w:val="24"/>
          <w:szCs w:val="24"/>
          <w:lang w:eastAsia="ja-JP"/>
        </w:rPr>
      </w:pPr>
      <w:r w:rsidRPr="00B44903">
        <w:rPr>
          <w:rFonts w:eastAsiaTheme="minorEastAsia"/>
          <w:b/>
          <w:sz w:val="20"/>
          <w:szCs w:val="20"/>
          <w:lang w:eastAsia="ja-JP"/>
        </w:rPr>
        <w:br w:type="page"/>
      </w:r>
      <w:r w:rsidRPr="00B44903">
        <w:rPr>
          <w:rFonts w:eastAsiaTheme="minorEastAsia"/>
          <w:b/>
          <w:sz w:val="24"/>
          <w:szCs w:val="24"/>
          <w:lang w:eastAsia="ja-JP"/>
        </w:rPr>
        <w:lastRenderedPageBreak/>
        <w:t>Acceptable tax risk</w:t>
      </w:r>
    </w:p>
    <w:p w14:paraId="12292BE4" w14:textId="77F07F23" w:rsidR="00B44903" w:rsidRPr="00B44903" w:rsidRDefault="00B44903" w:rsidP="00B44903">
      <w:pPr>
        <w:rPr>
          <w:rFonts w:eastAsiaTheme="minorEastAsia"/>
          <w:sz w:val="20"/>
          <w:szCs w:val="20"/>
          <w:lang w:eastAsia="ja-JP"/>
        </w:rPr>
      </w:pPr>
      <w:r w:rsidRPr="00B44903">
        <w:rPr>
          <w:rFonts w:eastAsiaTheme="minorEastAsia"/>
          <w:sz w:val="20"/>
          <w:szCs w:val="20"/>
          <w:lang w:eastAsia="ja-JP"/>
        </w:rPr>
        <w:t xml:space="preserve">In line with Tokio Marine HCC’s wider policy in relation to financial risk management, the level of acceptable UK tax risk is conservative allowing Tokio Marine HCC to protect its capital and focus its risk appetite on underwriting. </w:t>
      </w:r>
    </w:p>
    <w:p w14:paraId="5085865F" w14:textId="5C853330" w:rsidR="00B44903" w:rsidRDefault="00B44903" w:rsidP="00B44903">
      <w:pPr>
        <w:rPr>
          <w:rFonts w:eastAsiaTheme="minorEastAsia"/>
          <w:sz w:val="20"/>
          <w:szCs w:val="20"/>
          <w:lang w:eastAsia="ja-JP"/>
        </w:rPr>
      </w:pPr>
      <w:r w:rsidRPr="00B44903">
        <w:rPr>
          <w:rFonts w:eastAsiaTheme="minorEastAsia"/>
          <w:sz w:val="20"/>
          <w:szCs w:val="20"/>
          <w:lang w:eastAsia="ja-JP"/>
        </w:rPr>
        <w:t>This approach means that UK tax positions are not taken where it is deemed that a successful HMRC challenge to such arrangements would be likely.</w:t>
      </w:r>
    </w:p>
    <w:p w14:paraId="7D0990A0" w14:textId="77777777" w:rsidR="00C2005B" w:rsidRPr="00B44903" w:rsidRDefault="00C2005B" w:rsidP="00B44903">
      <w:pPr>
        <w:rPr>
          <w:rFonts w:eastAsiaTheme="minorEastAsia"/>
          <w:sz w:val="20"/>
          <w:szCs w:val="20"/>
          <w:lang w:eastAsia="ja-JP"/>
        </w:rPr>
      </w:pPr>
    </w:p>
    <w:p w14:paraId="2D80BB5C" w14:textId="77777777" w:rsidR="00B44903" w:rsidRPr="00B44903" w:rsidRDefault="00B44903" w:rsidP="00B44903">
      <w:pPr>
        <w:rPr>
          <w:rFonts w:eastAsiaTheme="minorEastAsia"/>
          <w:b/>
          <w:sz w:val="24"/>
          <w:szCs w:val="24"/>
          <w:lang w:eastAsia="ja-JP"/>
        </w:rPr>
      </w:pPr>
      <w:r w:rsidRPr="00B44903">
        <w:rPr>
          <w:rFonts w:eastAsiaTheme="minorEastAsia"/>
          <w:b/>
          <w:sz w:val="24"/>
          <w:szCs w:val="24"/>
          <w:lang w:eastAsia="ja-JP"/>
        </w:rPr>
        <w:t>Relationship with HMRC</w:t>
      </w:r>
    </w:p>
    <w:p w14:paraId="3EA091E3" w14:textId="77777777" w:rsidR="00B44903" w:rsidRPr="00B44903" w:rsidRDefault="00B44903" w:rsidP="00B44903">
      <w:pPr>
        <w:rPr>
          <w:rFonts w:eastAsiaTheme="minorEastAsia"/>
          <w:sz w:val="20"/>
          <w:szCs w:val="20"/>
          <w:lang w:eastAsia="ja-JP"/>
        </w:rPr>
      </w:pPr>
      <w:r w:rsidRPr="00B44903">
        <w:rPr>
          <w:rFonts w:eastAsiaTheme="minorEastAsia"/>
          <w:sz w:val="20"/>
          <w:szCs w:val="20"/>
          <w:lang w:eastAsia="ja-JP"/>
        </w:rPr>
        <w:t xml:space="preserve">Tokio Marine HCC sees open, constructive and transparent discussions with HMRC as a key and valuable part of managing their tax compliance framework.  Engagement with HMRC is sought on an honest basis with real time working when necessary.  Formal meetings to discuss relevant group transactions, business developments and tax related issues are held with HMRC </w:t>
      </w:r>
      <w:r w:rsidRPr="00E4090A">
        <w:rPr>
          <w:rFonts w:eastAsiaTheme="minorEastAsia"/>
          <w:sz w:val="20"/>
          <w:szCs w:val="20"/>
          <w:lang w:eastAsia="ja-JP"/>
        </w:rPr>
        <w:t>at least annually</w:t>
      </w:r>
      <w:r w:rsidRPr="00B44903">
        <w:rPr>
          <w:rFonts w:eastAsiaTheme="minorEastAsia"/>
          <w:sz w:val="20"/>
          <w:szCs w:val="20"/>
          <w:lang w:eastAsia="ja-JP"/>
        </w:rPr>
        <w:t xml:space="preserve"> with more frequent informal contact as and when required. </w:t>
      </w:r>
    </w:p>
    <w:p w14:paraId="224FDDE6" w14:textId="7A76D8CE" w:rsidR="00B44903" w:rsidRPr="00B44903" w:rsidRDefault="00B44903" w:rsidP="00B44903">
      <w:pPr>
        <w:rPr>
          <w:rFonts w:eastAsiaTheme="minorEastAsia"/>
          <w:sz w:val="20"/>
          <w:szCs w:val="20"/>
          <w:lang w:eastAsia="ja-JP"/>
        </w:rPr>
      </w:pPr>
      <w:r w:rsidRPr="00B44903">
        <w:rPr>
          <w:rFonts w:eastAsiaTheme="minorEastAsia"/>
          <w:sz w:val="20"/>
          <w:szCs w:val="20"/>
          <w:lang w:eastAsia="ja-JP"/>
        </w:rPr>
        <w:t xml:space="preserve">Tokio Marine HCC considers that that publication of this strategy complies with the </w:t>
      </w:r>
      <w:r w:rsidR="00F05F7D" w:rsidRPr="00030B58">
        <w:rPr>
          <w:rFonts w:eastAsiaTheme="minorEastAsia"/>
          <w:sz w:val="20"/>
          <w:szCs w:val="20"/>
          <w:lang w:eastAsia="ja-JP"/>
        </w:rPr>
        <w:t>requirements of</w:t>
      </w:r>
      <w:r w:rsidRPr="00030B58">
        <w:rPr>
          <w:rFonts w:eastAsiaTheme="minorEastAsia"/>
          <w:sz w:val="20"/>
          <w:szCs w:val="20"/>
          <w:lang w:eastAsia="ja-JP"/>
        </w:rPr>
        <w:t xml:space="preserve"> paragraph 16(2) of Finance Act 2016</w:t>
      </w:r>
      <w:r w:rsidR="00F05F7D" w:rsidRPr="00030B58">
        <w:rPr>
          <w:rFonts w:ascii="Arial" w:hAnsi="Arial" w:cs="Arial"/>
          <w:color w:val="2D2D2D"/>
          <w:sz w:val="27"/>
          <w:szCs w:val="27"/>
          <w:shd w:val="clear" w:color="auto" w:fill="FFFFFF"/>
        </w:rPr>
        <w:t xml:space="preserve"> </w:t>
      </w:r>
      <w:r w:rsidR="00F05F7D" w:rsidRPr="00030B58">
        <w:rPr>
          <w:rFonts w:eastAsiaTheme="minorEastAsia"/>
          <w:sz w:val="20"/>
          <w:szCs w:val="20"/>
          <w:lang w:eastAsia="ja-JP"/>
        </w:rPr>
        <w:t xml:space="preserve">and </w:t>
      </w:r>
      <w:r w:rsidR="00D63A71" w:rsidRPr="00030B58">
        <w:rPr>
          <w:rFonts w:eastAsiaTheme="minorEastAsia"/>
          <w:sz w:val="20"/>
          <w:szCs w:val="20"/>
          <w:lang w:eastAsia="ja-JP"/>
        </w:rPr>
        <w:t>relates to our 3</w:t>
      </w:r>
      <w:r w:rsidR="00F05F7D" w:rsidRPr="00030B58">
        <w:rPr>
          <w:rFonts w:eastAsiaTheme="minorEastAsia"/>
          <w:sz w:val="20"/>
          <w:szCs w:val="20"/>
          <w:lang w:eastAsia="ja-JP"/>
        </w:rPr>
        <w:t>1 December</w:t>
      </w:r>
      <w:r w:rsidR="00D63A71" w:rsidRPr="00030B58">
        <w:rPr>
          <w:rFonts w:eastAsiaTheme="minorEastAsia"/>
          <w:sz w:val="20"/>
          <w:szCs w:val="20"/>
          <w:lang w:eastAsia="ja-JP"/>
        </w:rPr>
        <w:t xml:space="preserve"> 202</w:t>
      </w:r>
      <w:r w:rsidR="00700B20">
        <w:rPr>
          <w:rFonts w:eastAsiaTheme="minorEastAsia"/>
          <w:sz w:val="20"/>
          <w:szCs w:val="20"/>
          <w:lang w:eastAsia="ja-JP"/>
        </w:rPr>
        <w:t>1</w:t>
      </w:r>
      <w:r w:rsidR="00D63A71" w:rsidRPr="00030B58">
        <w:rPr>
          <w:rFonts w:eastAsiaTheme="minorEastAsia"/>
          <w:sz w:val="20"/>
          <w:szCs w:val="20"/>
          <w:lang w:eastAsia="ja-JP"/>
        </w:rPr>
        <w:t xml:space="preserve"> year end.</w:t>
      </w:r>
    </w:p>
    <w:p w14:paraId="6D00778D" w14:textId="77777777" w:rsidR="00B44903" w:rsidRPr="00B44903" w:rsidRDefault="00B44903" w:rsidP="00B44903">
      <w:pPr>
        <w:rPr>
          <w:rFonts w:eastAsiaTheme="minorEastAsia"/>
          <w:sz w:val="20"/>
          <w:szCs w:val="20"/>
          <w:lang w:eastAsia="ja-JP"/>
        </w:rPr>
      </w:pPr>
      <w:r w:rsidRPr="00B44903">
        <w:rPr>
          <w:rFonts w:eastAsiaTheme="minorEastAsia"/>
          <w:sz w:val="20"/>
          <w:szCs w:val="20"/>
          <w:lang w:eastAsia="ja-JP"/>
        </w:rPr>
        <w:t>___________________________________________________________________</w:t>
      </w:r>
    </w:p>
    <w:p w14:paraId="45F74280" w14:textId="7A8A0439" w:rsidR="00B44903" w:rsidRDefault="00B44903" w:rsidP="00B44903">
      <w:pPr>
        <w:tabs>
          <w:tab w:val="center" w:pos="4513"/>
          <w:tab w:val="right" w:pos="9026"/>
        </w:tabs>
        <w:spacing w:after="0" w:line="240" w:lineRule="auto"/>
        <w:rPr>
          <w:rFonts w:eastAsiaTheme="minorEastAsia"/>
          <w:lang w:eastAsia="ja-JP"/>
        </w:rPr>
      </w:pPr>
      <w:r w:rsidRPr="00B44903">
        <w:rPr>
          <w:rFonts w:eastAsiaTheme="minorEastAsia"/>
          <w:vertAlign w:val="superscript"/>
          <w:lang w:eastAsia="ja-JP"/>
        </w:rPr>
        <w:t>1</w:t>
      </w:r>
      <w:r w:rsidRPr="00B44903">
        <w:rPr>
          <w:rFonts w:eastAsiaTheme="minorEastAsia"/>
          <w:lang w:eastAsia="ja-JP"/>
        </w:rPr>
        <w:t>This Tax Strategy covers the Tokio Marine HCC business units:</w:t>
      </w:r>
    </w:p>
    <w:p w14:paraId="1BD0F818" w14:textId="0E544748" w:rsidR="006225C2" w:rsidRDefault="006225C2" w:rsidP="00B44903">
      <w:pPr>
        <w:tabs>
          <w:tab w:val="center" w:pos="4513"/>
          <w:tab w:val="right" w:pos="9026"/>
        </w:tabs>
        <w:spacing w:after="0" w:line="240" w:lineRule="auto"/>
        <w:rPr>
          <w:rFonts w:eastAsiaTheme="minorEastAsia"/>
          <w:lang w:eastAsia="ja-JP"/>
        </w:rPr>
      </w:pPr>
    </w:p>
    <w:tbl>
      <w:tblPr>
        <w:tblStyle w:val="TableGrid"/>
        <w:tblW w:w="0" w:type="auto"/>
        <w:tblLook w:val="04A0" w:firstRow="1" w:lastRow="0" w:firstColumn="1" w:lastColumn="0" w:noHBand="0" w:noVBand="1"/>
      </w:tblPr>
      <w:tblGrid>
        <w:gridCol w:w="5391"/>
      </w:tblGrid>
      <w:tr w:rsidR="006225C2" w14:paraId="532158F0" w14:textId="77777777" w:rsidTr="00BF7F3E">
        <w:tc>
          <w:tcPr>
            <w:tcW w:w="5391" w:type="dxa"/>
          </w:tcPr>
          <w:p w14:paraId="62BBA121" w14:textId="1BD84D45" w:rsidR="006225C2" w:rsidRDefault="006225C2" w:rsidP="00E4090A">
            <w:pPr>
              <w:rPr>
                <w:rFonts w:eastAsiaTheme="minorEastAsia"/>
                <w:lang w:eastAsia="ja-JP"/>
              </w:rPr>
            </w:pPr>
            <w:r>
              <w:rPr>
                <w:rFonts w:ascii="Calibri" w:hAnsi="Calibri" w:cs="Calibri"/>
                <w:color w:val="000000"/>
                <w:sz w:val="18"/>
                <w:szCs w:val="18"/>
              </w:rPr>
              <w:t>TOKIO MARINE HCC INSURANCE HOLDINGS (INTERNATIONAL) LIMITED</w:t>
            </w:r>
          </w:p>
        </w:tc>
      </w:tr>
      <w:tr w:rsidR="006225C2" w14:paraId="450A2DD2" w14:textId="77777777" w:rsidTr="00BF7F3E">
        <w:tc>
          <w:tcPr>
            <w:tcW w:w="5391" w:type="dxa"/>
          </w:tcPr>
          <w:p w14:paraId="415DC2E2" w14:textId="3FBAF18F" w:rsidR="006225C2" w:rsidRDefault="006225C2" w:rsidP="00E4090A">
            <w:pPr>
              <w:rPr>
                <w:rFonts w:eastAsiaTheme="minorEastAsia"/>
                <w:lang w:eastAsia="ja-JP"/>
              </w:rPr>
            </w:pPr>
            <w:r>
              <w:rPr>
                <w:rFonts w:ascii="Calibri" w:hAnsi="Calibri" w:cs="Calibri"/>
                <w:color w:val="000000"/>
                <w:sz w:val="18"/>
                <w:szCs w:val="18"/>
              </w:rPr>
              <w:t>HCC INTERNATIONAL INSURANCE COMPANY PLC</w:t>
            </w:r>
          </w:p>
        </w:tc>
      </w:tr>
      <w:tr w:rsidR="006225C2" w14:paraId="5862F01C" w14:textId="77777777" w:rsidTr="00BF7F3E">
        <w:tc>
          <w:tcPr>
            <w:tcW w:w="5391" w:type="dxa"/>
          </w:tcPr>
          <w:p w14:paraId="328CA356" w14:textId="4B2F81C3" w:rsidR="006225C2" w:rsidRPr="00902C5C" w:rsidRDefault="006225C2" w:rsidP="00E4090A">
            <w:pPr>
              <w:rPr>
                <w:rFonts w:ascii="Calibri" w:hAnsi="Calibri" w:cs="Calibri"/>
                <w:color w:val="000000"/>
                <w:sz w:val="18"/>
                <w:szCs w:val="18"/>
              </w:rPr>
            </w:pPr>
            <w:r>
              <w:rPr>
                <w:rFonts w:ascii="Calibri" w:hAnsi="Calibri" w:cs="Calibri"/>
                <w:color w:val="000000"/>
                <w:sz w:val="18"/>
                <w:szCs w:val="18"/>
              </w:rPr>
              <w:t>HCCI CREDIT SERVICES LTD</w:t>
            </w:r>
          </w:p>
        </w:tc>
      </w:tr>
      <w:tr w:rsidR="006225C2" w14:paraId="79D0C627" w14:textId="77777777" w:rsidTr="00BF7F3E">
        <w:tc>
          <w:tcPr>
            <w:tcW w:w="5391" w:type="dxa"/>
          </w:tcPr>
          <w:p w14:paraId="66A24227" w14:textId="7891EE54" w:rsidR="006225C2" w:rsidRPr="00902C5C" w:rsidRDefault="006F70E1" w:rsidP="00E4090A">
            <w:pPr>
              <w:rPr>
                <w:rFonts w:ascii="Calibri" w:hAnsi="Calibri" w:cs="Calibri"/>
                <w:color w:val="000000"/>
                <w:sz w:val="18"/>
                <w:szCs w:val="18"/>
              </w:rPr>
            </w:pPr>
            <w:r w:rsidRPr="00902C5C">
              <w:rPr>
                <w:rFonts w:ascii="Calibri" w:hAnsi="Calibri" w:cs="Calibri"/>
                <w:color w:val="000000"/>
                <w:sz w:val="18"/>
                <w:szCs w:val="18"/>
              </w:rPr>
              <w:t>RADIUS UNDERWRITING LIMITED</w:t>
            </w:r>
          </w:p>
        </w:tc>
      </w:tr>
      <w:tr w:rsidR="006225C2" w14:paraId="3F25705C" w14:textId="77777777" w:rsidTr="00BF7F3E">
        <w:tc>
          <w:tcPr>
            <w:tcW w:w="5391" w:type="dxa"/>
          </w:tcPr>
          <w:p w14:paraId="594ECD43" w14:textId="1170FA37" w:rsidR="006225C2" w:rsidRDefault="006F70E1" w:rsidP="00E4090A">
            <w:pPr>
              <w:rPr>
                <w:rFonts w:eastAsiaTheme="minorEastAsia"/>
                <w:lang w:eastAsia="ja-JP"/>
              </w:rPr>
            </w:pPr>
            <w:r>
              <w:rPr>
                <w:rFonts w:ascii="Calibri" w:hAnsi="Calibri" w:cs="Calibri"/>
                <w:color w:val="000000"/>
                <w:sz w:val="18"/>
                <w:szCs w:val="18"/>
              </w:rPr>
              <w:t xml:space="preserve">QDOS BROKER &amp; UNDERWRITING SERVICES LIMITED </w:t>
            </w:r>
          </w:p>
        </w:tc>
      </w:tr>
      <w:tr w:rsidR="006225C2" w14:paraId="31B19001" w14:textId="77777777" w:rsidTr="00BF7F3E">
        <w:tc>
          <w:tcPr>
            <w:tcW w:w="5391" w:type="dxa"/>
          </w:tcPr>
          <w:p w14:paraId="1A545E47" w14:textId="363BC076" w:rsidR="006225C2" w:rsidRDefault="006F70E1" w:rsidP="00E4090A">
            <w:pPr>
              <w:rPr>
                <w:rFonts w:eastAsiaTheme="minorEastAsia"/>
                <w:lang w:eastAsia="ja-JP"/>
              </w:rPr>
            </w:pPr>
            <w:r>
              <w:rPr>
                <w:rFonts w:ascii="Calibri" w:hAnsi="Calibri" w:cs="Calibri"/>
                <w:color w:val="000000"/>
                <w:sz w:val="18"/>
                <w:szCs w:val="18"/>
              </w:rPr>
              <w:t>QDOS HOLDINGS LIMITED</w:t>
            </w:r>
          </w:p>
        </w:tc>
      </w:tr>
      <w:tr w:rsidR="006225C2" w14:paraId="63EA41B7" w14:textId="77777777" w:rsidTr="00BF7F3E">
        <w:tc>
          <w:tcPr>
            <w:tcW w:w="5391" w:type="dxa"/>
          </w:tcPr>
          <w:p w14:paraId="03EE3169" w14:textId="2D53365A" w:rsidR="006225C2" w:rsidRDefault="006F70E1" w:rsidP="00E4090A">
            <w:pPr>
              <w:rPr>
                <w:rFonts w:eastAsiaTheme="minorEastAsia"/>
                <w:lang w:eastAsia="ja-JP"/>
              </w:rPr>
            </w:pPr>
            <w:r>
              <w:rPr>
                <w:rFonts w:ascii="Calibri" w:hAnsi="Calibri" w:cs="Calibri"/>
                <w:color w:val="000000"/>
                <w:sz w:val="18"/>
                <w:szCs w:val="18"/>
                <w:lang w:val="en-US"/>
              </w:rPr>
              <w:t>GCUBE UNDERWRITING LIMITED</w:t>
            </w:r>
          </w:p>
        </w:tc>
      </w:tr>
      <w:tr w:rsidR="006225C2" w14:paraId="57D4A947" w14:textId="77777777" w:rsidTr="00BF7F3E">
        <w:tc>
          <w:tcPr>
            <w:tcW w:w="5391" w:type="dxa"/>
          </w:tcPr>
          <w:p w14:paraId="2CE7E8A4" w14:textId="6C58D91C" w:rsidR="006225C2" w:rsidRDefault="006F70E1" w:rsidP="00E4090A">
            <w:pPr>
              <w:rPr>
                <w:rFonts w:eastAsiaTheme="minorEastAsia"/>
                <w:lang w:eastAsia="ja-JP"/>
              </w:rPr>
            </w:pPr>
            <w:r>
              <w:rPr>
                <w:rFonts w:ascii="Calibri" w:hAnsi="Calibri" w:cs="Calibri"/>
                <w:color w:val="000000"/>
                <w:sz w:val="18"/>
                <w:szCs w:val="18"/>
                <w:lang w:val="en-US"/>
              </w:rPr>
              <w:t>RENEWABLE ENERGY LOSS ADJUSTERS LIMITED</w:t>
            </w:r>
          </w:p>
        </w:tc>
      </w:tr>
      <w:tr w:rsidR="006225C2" w:rsidRPr="001B5542" w14:paraId="7F0CFA98" w14:textId="77777777" w:rsidTr="00BF7F3E">
        <w:tc>
          <w:tcPr>
            <w:tcW w:w="5391" w:type="dxa"/>
          </w:tcPr>
          <w:p w14:paraId="146EF07F" w14:textId="278DECC7" w:rsidR="006225C2" w:rsidRPr="00E4090A" w:rsidRDefault="006F70E1" w:rsidP="00E4090A">
            <w:pPr>
              <w:rPr>
                <w:rFonts w:eastAsiaTheme="minorEastAsia"/>
                <w:lang w:val="fr-FR" w:eastAsia="ja-JP"/>
              </w:rPr>
            </w:pPr>
            <w:r>
              <w:rPr>
                <w:rFonts w:ascii="Calibri" w:hAnsi="Calibri" w:cs="Calibri"/>
                <w:color w:val="000000"/>
                <w:sz w:val="18"/>
                <w:szCs w:val="18"/>
                <w:lang w:val="fr-FR"/>
              </w:rPr>
              <w:t>TOKIO MARINE EUROPE S.A. (LUXEMBOURG), UK BRANCH</w:t>
            </w:r>
          </w:p>
        </w:tc>
      </w:tr>
      <w:tr w:rsidR="006225C2" w:rsidRPr="00E4090A" w14:paraId="23122E6E" w14:textId="77777777" w:rsidTr="00BF7F3E">
        <w:tc>
          <w:tcPr>
            <w:tcW w:w="5391" w:type="dxa"/>
          </w:tcPr>
          <w:p w14:paraId="2FF69DD8" w14:textId="6330DE22" w:rsidR="006225C2" w:rsidRPr="00BE755D" w:rsidRDefault="006F70E1" w:rsidP="00E4090A">
            <w:pPr>
              <w:rPr>
                <w:rFonts w:eastAsiaTheme="minorEastAsia"/>
                <w:lang w:eastAsia="ja-JP"/>
              </w:rPr>
            </w:pPr>
            <w:r>
              <w:rPr>
                <w:rFonts w:ascii="Calibri" w:hAnsi="Calibri" w:cs="Calibri"/>
                <w:color w:val="000000"/>
                <w:sz w:val="18"/>
                <w:szCs w:val="18"/>
              </w:rPr>
              <w:t>HOUSTON CASUALTY COMPANY</w:t>
            </w:r>
            <w:r w:rsidR="00BE755D">
              <w:rPr>
                <w:rFonts w:ascii="Calibri" w:hAnsi="Calibri" w:cs="Calibri"/>
                <w:color w:val="000000"/>
                <w:sz w:val="18"/>
                <w:szCs w:val="18"/>
              </w:rPr>
              <w:t xml:space="preserve"> INC.</w:t>
            </w:r>
            <w:r>
              <w:rPr>
                <w:rFonts w:ascii="Calibri" w:hAnsi="Calibri" w:cs="Calibri"/>
                <w:color w:val="000000"/>
                <w:sz w:val="18"/>
                <w:szCs w:val="18"/>
              </w:rPr>
              <w:t>, LONDON BRANCH</w:t>
            </w:r>
          </w:p>
        </w:tc>
      </w:tr>
      <w:tr w:rsidR="006225C2" w:rsidRPr="00E4090A" w14:paraId="1101EA75" w14:textId="77777777" w:rsidTr="00BF7F3E">
        <w:tc>
          <w:tcPr>
            <w:tcW w:w="5391" w:type="dxa"/>
          </w:tcPr>
          <w:p w14:paraId="0B8BE5F7" w14:textId="34C56010" w:rsidR="006225C2" w:rsidRPr="00E4090A" w:rsidRDefault="006F70E1" w:rsidP="00E4090A">
            <w:pPr>
              <w:rPr>
                <w:rFonts w:eastAsiaTheme="minorEastAsia"/>
                <w:lang w:eastAsia="ja-JP"/>
              </w:rPr>
            </w:pPr>
            <w:r>
              <w:rPr>
                <w:rFonts w:ascii="Calibri" w:hAnsi="Calibri" w:cs="Calibri"/>
                <w:color w:val="000000"/>
                <w:sz w:val="18"/>
                <w:szCs w:val="18"/>
              </w:rPr>
              <w:t>HCC SERVICE COMPANY INC., UK BRANCH</w:t>
            </w:r>
          </w:p>
        </w:tc>
      </w:tr>
      <w:tr w:rsidR="006225C2" w:rsidRPr="00E4090A" w14:paraId="4D8E6835" w14:textId="77777777" w:rsidTr="00BF7F3E">
        <w:tc>
          <w:tcPr>
            <w:tcW w:w="5391" w:type="dxa"/>
          </w:tcPr>
          <w:p w14:paraId="118C470D" w14:textId="4D606D63" w:rsidR="006225C2" w:rsidRPr="00E4090A" w:rsidRDefault="006F70E1" w:rsidP="00E4090A">
            <w:pPr>
              <w:rPr>
                <w:rFonts w:eastAsiaTheme="minorEastAsia"/>
                <w:lang w:eastAsia="ja-JP"/>
              </w:rPr>
            </w:pPr>
            <w:r>
              <w:rPr>
                <w:rFonts w:ascii="Calibri" w:hAnsi="Calibri" w:cs="Calibri"/>
                <w:color w:val="000000"/>
                <w:sz w:val="18"/>
                <w:szCs w:val="18"/>
              </w:rPr>
              <w:t>HCC SPECIALTY LTD</w:t>
            </w:r>
          </w:p>
        </w:tc>
      </w:tr>
      <w:tr w:rsidR="006225C2" w:rsidRPr="00E4090A" w14:paraId="2749720A" w14:textId="77777777" w:rsidTr="00BF7F3E">
        <w:tc>
          <w:tcPr>
            <w:tcW w:w="5391" w:type="dxa"/>
          </w:tcPr>
          <w:p w14:paraId="6B4092B7" w14:textId="3974B56A" w:rsidR="006225C2" w:rsidRPr="00E4090A" w:rsidRDefault="006F70E1" w:rsidP="00E4090A">
            <w:pPr>
              <w:rPr>
                <w:rFonts w:eastAsiaTheme="minorEastAsia"/>
                <w:lang w:eastAsia="ja-JP"/>
              </w:rPr>
            </w:pPr>
            <w:r>
              <w:rPr>
                <w:rFonts w:ascii="Calibri" w:hAnsi="Calibri" w:cs="Calibri"/>
                <w:color w:val="000000"/>
                <w:sz w:val="18"/>
                <w:szCs w:val="18"/>
              </w:rPr>
              <w:t>NAMECO (No.808) LTD</w:t>
            </w:r>
          </w:p>
        </w:tc>
      </w:tr>
      <w:tr w:rsidR="006225C2" w:rsidRPr="00E4090A" w14:paraId="2DA829ED" w14:textId="77777777" w:rsidTr="00BF7F3E">
        <w:tc>
          <w:tcPr>
            <w:tcW w:w="5391" w:type="dxa"/>
          </w:tcPr>
          <w:p w14:paraId="47A8B157" w14:textId="1E1C299A" w:rsidR="006225C2" w:rsidRPr="00E4090A" w:rsidRDefault="006F70E1" w:rsidP="00E4090A">
            <w:pPr>
              <w:rPr>
                <w:rFonts w:eastAsiaTheme="minorEastAsia"/>
                <w:lang w:eastAsia="ja-JP"/>
              </w:rPr>
            </w:pPr>
            <w:r>
              <w:rPr>
                <w:rFonts w:ascii="Calibri" w:hAnsi="Calibri" w:cs="Calibri"/>
                <w:color w:val="000000"/>
                <w:sz w:val="18"/>
                <w:szCs w:val="18"/>
              </w:rPr>
              <w:t>HCC UNDERWRITING AGENCY LTD</w:t>
            </w:r>
          </w:p>
        </w:tc>
      </w:tr>
    </w:tbl>
    <w:p w14:paraId="523F5A9D" w14:textId="5794D56C" w:rsidR="006225C2" w:rsidRPr="00E4090A" w:rsidRDefault="006225C2" w:rsidP="00B44903">
      <w:pPr>
        <w:tabs>
          <w:tab w:val="center" w:pos="4513"/>
          <w:tab w:val="right" w:pos="9026"/>
        </w:tabs>
        <w:spacing w:after="0" w:line="240" w:lineRule="auto"/>
        <w:rPr>
          <w:rFonts w:eastAsiaTheme="minorEastAsia"/>
          <w:lang w:eastAsia="ja-JP"/>
        </w:rPr>
      </w:pPr>
    </w:p>
    <w:p w14:paraId="5F0573D4" w14:textId="6F39676D" w:rsidR="006225C2" w:rsidRPr="00E4090A" w:rsidRDefault="006225C2" w:rsidP="00B44903">
      <w:pPr>
        <w:tabs>
          <w:tab w:val="center" w:pos="4513"/>
          <w:tab w:val="right" w:pos="9026"/>
        </w:tabs>
        <w:spacing w:after="0" w:line="240" w:lineRule="auto"/>
        <w:rPr>
          <w:rFonts w:eastAsiaTheme="minorEastAsia"/>
          <w:lang w:eastAsia="ja-JP"/>
        </w:rPr>
      </w:pPr>
    </w:p>
    <w:p w14:paraId="4F4D1759" w14:textId="77777777" w:rsidR="00B44903" w:rsidRPr="00E4090A" w:rsidRDefault="00B44903" w:rsidP="00E4090A">
      <w:pPr>
        <w:tabs>
          <w:tab w:val="center" w:pos="4513"/>
          <w:tab w:val="right" w:pos="9026"/>
        </w:tabs>
        <w:spacing w:after="0" w:line="240" w:lineRule="auto"/>
        <w:rPr>
          <w:rFonts w:eastAsiaTheme="minorEastAsia"/>
          <w:sz w:val="18"/>
          <w:szCs w:val="18"/>
          <w:lang w:val="fr-FR" w:eastAsia="ja-JP"/>
        </w:rPr>
      </w:pPr>
    </w:p>
    <w:sectPr w:rsidR="00B44903" w:rsidRPr="00E4090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77EEF" w14:textId="77777777" w:rsidR="00D438A7" w:rsidRDefault="00D438A7" w:rsidP="007325BA">
      <w:pPr>
        <w:spacing w:after="0" w:line="240" w:lineRule="auto"/>
      </w:pPr>
      <w:r>
        <w:separator/>
      </w:r>
    </w:p>
  </w:endnote>
  <w:endnote w:type="continuationSeparator" w:id="0">
    <w:p w14:paraId="68EBCFCE" w14:textId="77777777" w:rsidR="00D438A7" w:rsidRDefault="00D438A7" w:rsidP="00732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532156"/>
      <w:docPartObj>
        <w:docPartGallery w:val="Page Numbers (Bottom of Page)"/>
        <w:docPartUnique/>
      </w:docPartObj>
    </w:sdtPr>
    <w:sdtEndPr>
      <w:rPr>
        <w:color w:val="808080" w:themeColor="background1" w:themeShade="80"/>
        <w:spacing w:val="60"/>
      </w:rPr>
    </w:sdtEndPr>
    <w:sdtContent>
      <w:p w14:paraId="28F14B04" w14:textId="147B7F33" w:rsidR="00CF22D2" w:rsidRDefault="001B5542">
        <w:pPr>
          <w:pStyle w:val="Footer"/>
          <w:pBdr>
            <w:top w:val="single" w:sz="4" w:space="1" w:color="D9D9D9" w:themeColor="background1" w:themeShade="D9"/>
          </w:pBdr>
          <w:jc w:val="right"/>
        </w:pPr>
        <w:r>
          <w:t>Tax Strategy 202</w:t>
        </w:r>
        <w:r w:rsidR="00700B20">
          <w:t>1</w:t>
        </w:r>
        <w:r w:rsidR="00CF22D2">
          <w:t xml:space="preserve"> </w:t>
        </w:r>
      </w:p>
    </w:sdtContent>
  </w:sdt>
  <w:p w14:paraId="4BD7B2F7" w14:textId="77777777" w:rsidR="00CF22D2" w:rsidRDefault="00CF22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3CA9A" w14:textId="77777777" w:rsidR="00D438A7" w:rsidRDefault="00D438A7" w:rsidP="007325BA">
      <w:pPr>
        <w:spacing w:after="0" w:line="240" w:lineRule="auto"/>
      </w:pPr>
      <w:r>
        <w:separator/>
      </w:r>
    </w:p>
  </w:footnote>
  <w:footnote w:type="continuationSeparator" w:id="0">
    <w:p w14:paraId="170817A0" w14:textId="77777777" w:rsidR="00D438A7" w:rsidRDefault="00D438A7" w:rsidP="00732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4D409" w14:textId="77777777" w:rsidR="008C66CB" w:rsidRDefault="00030AD2" w:rsidP="007325BA">
    <w:pPr>
      <w:pStyle w:val="Header"/>
      <w:jc w:val="right"/>
    </w:pPr>
    <w:r>
      <w:rPr>
        <w:noProof/>
        <w:lang w:eastAsia="en-GB"/>
      </w:rPr>
      <w:drawing>
        <wp:inline distT="0" distB="0" distL="0" distR="0" wp14:anchorId="6A2E20E3" wp14:editId="06B09D54">
          <wp:extent cx="1824272" cy="59436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17530" cy="592163"/>
                  </a:xfrm>
                  <a:prstGeom prst="rect">
                    <a:avLst/>
                  </a:prstGeom>
                </pic:spPr>
              </pic:pic>
            </a:graphicData>
          </a:graphic>
        </wp:inline>
      </w:drawing>
    </w:r>
  </w:p>
  <w:p w14:paraId="51372E44" w14:textId="77777777" w:rsidR="008C66CB" w:rsidRPr="008C66CB" w:rsidRDefault="008C66CB" w:rsidP="007325BA">
    <w:pPr>
      <w:pStyle w:val="Header"/>
      <w:jc w:val="right"/>
      <w:rPr>
        <w:b/>
        <w:sz w:val="24"/>
        <w:szCs w:val="24"/>
      </w:rPr>
    </w:pPr>
  </w:p>
  <w:p w14:paraId="4CF6CE1B" w14:textId="77777777" w:rsidR="008C66CB" w:rsidRPr="008C66CB" w:rsidRDefault="008C66CB" w:rsidP="008C66CB">
    <w:pPr>
      <w:pStyle w:val="Header"/>
      <w:jc w:val="center"/>
      <w:rPr>
        <w:b/>
        <w:sz w:val="24"/>
        <w:szCs w:val="24"/>
      </w:rPr>
    </w:pPr>
  </w:p>
  <w:p w14:paraId="334DAEC3" w14:textId="77777777" w:rsidR="007325BA" w:rsidRDefault="00732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569D"/>
    <w:multiLevelType w:val="hybridMultilevel"/>
    <w:tmpl w:val="F9885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3502B5"/>
    <w:multiLevelType w:val="hybridMultilevel"/>
    <w:tmpl w:val="6CCA17C4"/>
    <w:lvl w:ilvl="0" w:tplc="F9721B68">
      <w:start w:val="1"/>
      <w:numFmt w:val="decimal"/>
      <w:lvlText w:val="%1."/>
      <w:lvlJc w:val="left"/>
      <w:pPr>
        <w:ind w:left="360" w:hanging="360"/>
      </w:pPr>
      <w:rPr>
        <w:color w:val="1F497D" w:themeColor="text2"/>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5B7298"/>
    <w:multiLevelType w:val="hybridMultilevel"/>
    <w:tmpl w:val="222C73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E61189"/>
    <w:multiLevelType w:val="hybridMultilevel"/>
    <w:tmpl w:val="DB0ACF84"/>
    <w:lvl w:ilvl="0" w:tplc="FC40CC4C">
      <w:start w:val="4"/>
      <w:numFmt w:val="decimal"/>
      <w:lvlText w:val="%1."/>
      <w:lvlJc w:val="left"/>
      <w:pPr>
        <w:ind w:left="360" w:hanging="360"/>
      </w:pPr>
      <w:rPr>
        <w:rFonts w:hint="default"/>
        <w:color w:val="1F497D"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E37131E"/>
    <w:multiLevelType w:val="hybridMultilevel"/>
    <w:tmpl w:val="8C588E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7D2865"/>
    <w:multiLevelType w:val="hybridMultilevel"/>
    <w:tmpl w:val="D2AA8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335B15"/>
    <w:multiLevelType w:val="hybridMultilevel"/>
    <w:tmpl w:val="1FDC99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327C02"/>
    <w:multiLevelType w:val="hybridMultilevel"/>
    <w:tmpl w:val="93000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DA2F5E"/>
    <w:multiLevelType w:val="hybridMultilevel"/>
    <w:tmpl w:val="E746F4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432E0"/>
    <w:multiLevelType w:val="hybridMultilevel"/>
    <w:tmpl w:val="E5FCB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13A11"/>
    <w:multiLevelType w:val="hybridMultilevel"/>
    <w:tmpl w:val="2C2AC0C6"/>
    <w:lvl w:ilvl="0" w:tplc="F75AF118">
      <w:start w:val="1"/>
      <w:numFmt w:val="decimal"/>
      <w:lvlText w:val="%1."/>
      <w:lvlJc w:val="left"/>
      <w:pPr>
        <w:ind w:left="360" w:hanging="360"/>
      </w:pPr>
      <w:rPr>
        <w:b/>
        <w:color w:val="1F497D"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FE0A8C"/>
    <w:multiLevelType w:val="hybridMultilevel"/>
    <w:tmpl w:val="8804A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E224F0"/>
    <w:multiLevelType w:val="hybridMultilevel"/>
    <w:tmpl w:val="A5FC42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6607BA2"/>
    <w:multiLevelType w:val="multilevel"/>
    <w:tmpl w:val="AA7C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B5E85"/>
    <w:multiLevelType w:val="hybridMultilevel"/>
    <w:tmpl w:val="B5A4CE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B616ED1"/>
    <w:multiLevelType w:val="hybridMultilevel"/>
    <w:tmpl w:val="26C839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41694F"/>
    <w:multiLevelType w:val="hybridMultilevel"/>
    <w:tmpl w:val="D5B07018"/>
    <w:lvl w:ilvl="0" w:tplc="11AC319E">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0A0AF7"/>
    <w:multiLevelType w:val="hybridMultilevel"/>
    <w:tmpl w:val="AC7470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43B722C"/>
    <w:multiLevelType w:val="hybridMultilevel"/>
    <w:tmpl w:val="B40E1D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47D6AFC"/>
    <w:multiLevelType w:val="hybridMultilevel"/>
    <w:tmpl w:val="4002F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2B1412"/>
    <w:multiLevelType w:val="hybridMultilevel"/>
    <w:tmpl w:val="5BE4B4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7B0E69"/>
    <w:multiLevelType w:val="hybridMultilevel"/>
    <w:tmpl w:val="6E74C544"/>
    <w:lvl w:ilvl="0" w:tplc="A3986F1E">
      <w:start w:val="1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88321F"/>
    <w:multiLevelType w:val="hybridMultilevel"/>
    <w:tmpl w:val="1D86F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2E72584"/>
    <w:multiLevelType w:val="hybridMultilevel"/>
    <w:tmpl w:val="FA80A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4B7C7D"/>
    <w:multiLevelType w:val="hybridMultilevel"/>
    <w:tmpl w:val="47608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CD086F"/>
    <w:multiLevelType w:val="hybridMultilevel"/>
    <w:tmpl w:val="9976E5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21921A3"/>
    <w:multiLevelType w:val="hybridMultilevel"/>
    <w:tmpl w:val="21CCF2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5111B3F"/>
    <w:multiLevelType w:val="hybridMultilevel"/>
    <w:tmpl w:val="E376D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C5838D4"/>
    <w:multiLevelType w:val="hybridMultilevel"/>
    <w:tmpl w:val="B6F2E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98387B"/>
    <w:multiLevelType w:val="hybridMultilevel"/>
    <w:tmpl w:val="246A6CB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0B36032"/>
    <w:multiLevelType w:val="hybridMultilevel"/>
    <w:tmpl w:val="5A2249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1506A74"/>
    <w:multiLevelType w:val="hybridMultilevel"/>
    <w:tmpl w:val="4B56876E"/>
    <w:lvl w:ilvl="0" w:tplc="0B646F4A">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B61A5C"/>
    <w:multiLevelType w:val="hybridMultilevel"/>
    <w:tmpl w:val="CD6E86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3FE2F5B"/>
    <w:multiLevelType w:val="hybridMultilevel"/>
    <w:tmpl w:val="E9644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340BC8"/>
    <w:multiLevelType w:val="hybridMultilevel"/>
    <w:tmpl w:val="174C1956"/>
    <w:lvl w:ilvl="0" w:tplc="83BC6614">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6A979EC"/>
    <w:multiLevelType w:val="hybridMultilevel"/>
    <w:tmpl w:val="26B8AA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FA817BF"/>
    <w:multiLevelType w:val="hybridMultilevel"/>
    <w:tmpl w:val="7D64F468"/>
    <w:lvl w:ilvl="0" w:tplc="55A4EA74">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FC04C21"/>
    <w:multiLevelType w:val="hybridMultilevel"/>
    <w:tmpl w:val="ABD22CC6"/>
    <w:lvl w:ilvl="0" w:tplc="55A4EA74">
      <w:start w:val="3"/>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19"/>
  </w:num>
  <w:num w:numId="3">
    <w:abstractNumId w:val="33"/>
  </w:num>
  <w:num w:numId="4">
    <w:abstractNumId w:val="8"/>
  </w:num>
  <w:num w:numId="5">
    <w:abstractNumId w:val="15"/>
  </w:num>
  <w:num w:numId="6">
    <w:abstractNumId w:val="7"/>
  </w:num>
  <w:num w:numId="7">
    <w:abstractNumId w:val="29"/>
  </w:num>
  <w:num w:numId="8">
    <w:abstractNumId w:val="32"/>
  </w:num>
  <w:num w:numId="9">
    <w:abstractNumId w:val="14"/>
  </w:num>
  <w:num w:numId="10">
    <w:abstractNumId w:val="13"/>
  </w:num>
  <w:num w:numId="11">
    <w:abstractNumId w:val="30"/>
  </w:num>
  <w:num w:numId="12">
    <w:abstractNumId w:val="27"/>
  </w:num>
  <w:num w:numId="13">
    <w:abstractNumId w:val="1"/>
  </w:num>
  <w:num w:numId="14">
    <w:abstractNumId w:val="10"/>
  </w:num>
  <w:num w:numId="15">
    <w:abstractNumId w:val="12"/>
  </w:num>
  <w:num w:numId="16">
    <w:abstractNumId w:val="11"/>
  </w:num>
  <w:num w:numId="17">
    <w:abstractNumId w:val="6"/>
  </w:num>
  <w:num w:numId="18">
    <w:abstractNumId w:val="31"/>
  </w:num>
  <w:num w:numId="19">
    <w:abstractNumId w:val="28"/>
  </w:num>
  <w:num w:numId="20">
    <w:abstractNumId w:val="24"/>
  </w:num>
  <w:num w:numId="21">
    <w:abstractNumId w:val="22"/>
  </w:num>
  <w:num w:numId="22">
    <w:abstractNumId w:val="17"/>
  </w:num>
  <w:num w:numId="23">
    <w:abstractNumId w:val="36"/>
  </w:num>
  <w:num w:numId="24">
    <w:abstractNumId w:val="2"/>
  </w:num>
  <w:num w:numId="25">
    <w:abstractNumId w:val="18"/>
  </w:num>
  <w:num w:numId="26">
    <w:abstractNumId w:val="26"/>
  </w:num>
  <w:num w:numId="27">
    <w:abstractNumId w:val="37"/>
  </w:num>
  <w:num w:numId="28">
    <w:abstractNumId w:val="20"/>
  </w:num>
  <w:num w:numId="29">
    <w:abstractNumId w:val="25"/>
  </w:num>
  <w:num w:numId="30">
    <w:abstractNumId w:val="5"/>
  </w:num>
  <w:num w:numId="31">
    <w:abstractNumId w:val="35"/>
  </w:num>
  <w:num w:numId="32">
    <w:abstractNumId w:val="3"/>
  </w:num>
  <w:num w:numId="33">
    <w:abstractNumId w:val="4"/>
  </w:num>
  <w:num w:numId="34">
    <w:abstractNumId w:val="21"/>
  </w:num>
  <w:num w:numId="35">
    <w:abstractNumId w:val="23"/>
  </w:num>
  <w:num w:numId="36">
    <w:abstractNumId w:val="16"/>
  </w:num>
  <w:num w:numId="37">
    <w:abstractNumId w:val="0"/>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E8E"/>
    <w:rsid w:val="00005A7B"/>
    <w:rsid w:val="0001377D"/>
    <w:rsid w:val="000163F7"/>
    <w:rsid w:val="000223F4"/>
    <w:rsid w:val="00030AD2"/>
    <w:rsid w:val="00030B58"/>
    <w:rsid w:val="00035DB5"/>
    <w:rsid w:val="00044D25"/>
    <w:rsid w:val="0006145D"/>
    <w:rsid w:val="00064EB9"/>
    <w:rsid w:val="00082722"/>
    <w:rsid w:val="00091EAE"/>
    <w:rsid w:val="000A06CC"/>
    <w:rsid w:val="000A3EC8"/>
    <w:rsid w:val="000F103C"/>
    <w:rsid w:val="00102A85"/>
    <w:rsid w:val="001449A0"/>
    <w:rsid w:val="00147CC1"/>
    <w:rsid w:val="00162EC5"/>
    <w:rsid w:val="00191A41"/>
    <w:rsid w:val="00193FF8"/>
    <w:rsid w:val="001B289A"/>
    <w:rsid w:val="001B2FDB"/>
    <w:rsid w:val="001B4FDA"/>
    <w:rsid w:val="001B5542"/>
    <w:rsid w:val="001B6CD2"/>
    <w:rsid w:val="001B79FA"/>
    <w:rsid w:val="001C3B77"/>
    <w:rsid w:val="001C41BF"/>
    <w:rsid w:val="001C4732"/>
    <w:rsid w:val="001D2A72"/>
    <w:rsid w:val="001D3D64"/>
    <w:rsid w:val="001D4B2A"/>
    <w:rsid w:val="001E03FF"/>
    <w:rsid w:val="001E4045"/>
    <w:rsid w:val="001E6955"/>
    <w:rsid w:val="001E6B8D"/>
    <w:rsid w:val="001F62C3"/>
    <w:rsid w:val="00211DD7"/>
    <w:rsid w:val="00216CF8"/>
    <w:rsid w:val="00230CAD"/>
    <w:rsid w:val="00232AE5"/>
    <w:rsid w:val="00276C1A"/>
    <w:rsid w:val="00277D3E"/>
    <w:rsid w:val="00291E5D"/>
    <w:rsid w:val="002A4C3C"/>
    <w:rsid w:val="002C0257"/>
    <w:rsid w:val="002C5E3E"/>
    <w:rsid w:val="002F09F0"/>
    <w:rsid w:val="00304E49"/>
    <w:rsid w:val="00337FD2"/>
    <w:rsid w:val="003425F0"/>
    <w:rsid w:val="0034549B"/>
    <w:rsid w:val="0038194D"/>
    <w:rsid w:val="0038204C"/>
    <w:rsid w:val="00383F89"/>
    <w:rsid w:val="003B342F"/>
    <w:rsid w:val="003C6C44"/>
    <w:rsid w:val="003E2707"/>
    <w:rsid w:val="00417FAB"/>
    <w:rsid w:val="00442EF8"/>
    <w:rsid w:val="00443A85"/>
    <w:rsid w:val="004B1CD9"/>
    <w:rsid w:val="004D7990"/>
    <w:rsid w:val="004E010D"/>
    <w:rsid w:val="005041C8"/>
    <w:rsid w:val="00504D16"/>
    <w:rsid w:val="005116AC"/>
    <w:rsid w:val="00517333"/>
    <w:rsid w:val="005220E4"/>
    <w:rsid w:val="00530B5C"/>
    <w:rsid w:val="00551877"/>
    <w:rsid w:val="00560E39"/>
    <w:rsid w:val="00584704"/>
    <w:rsid w:val="00590FB7"/>
    <w:rsid w:val="00592429"/>
    <w:rsid w:val="00593136"/>
    <w:rsid w:val="005B55AC"/>
    <w:rsid w:val="005B7F3E"/>
    <w:rsid w:val="005D6547"/>
    <w:rsid w:val="005E3AF9"/>
    <w:rsid w:val="00602717"/>
    <w:rsid w:val="00620913"/>
    <w:rsid w:val="006225C2"/>
    <w:rsid w:val="00622C24"/>
    <w:rsid w:val="00623033"/>
    <w:rsid w:val="0062514E"/>
    <w:rsid w:val="00626DE5"/>
    <w:rsid w:val="00642C02"/>
    <w:rsid w:val="00646CD1"/>
    <w:rsid w:val="00651FB2"/>
    <w:rsid w:val="0066117B"/>
    <w:rsid w:val="006A12F2"/>
    <w:rsid w:val="006A2AA9"/>
    <w:rsid w:val="006F70E1"/>
    <w:rsid w:val="00700B20"/>
    <w:rsid w:val="00704A47"/>
    <w:rsid w:val="00705FFD"/>
    <w:rsid w:val="00721CE9"/>
    <w:rsid w:val="007325BA"/>
    <w:rsid w:val="00743308"/>
    <w:rsid w:val="0075525E"/>
    <w:rsid w:val="00764D54"/>
    <w:rsid w:val="00765C06"/>
    <w:rsid w:val="00767245"/>
    <w:rsid w:val="007A5816"/>
    <w:rsid w:val="007A5F23"/>
    <w:rsid w:val="007B131F"/>
    <w:rsid w:val="007B4606"/>
    <w:rsid w:val="007B7BDE"/>
    <w:rsid w:val="007C04BD"/>
    <w:rsid w:val="007E2EC7"/>
    <w:rsid w:val="007F14D9"/>
    <w:rsid w:val="007F7CED"/>
    <w:rsid w:val="0080158D"/>
    <w:rsid w:val="00814B1A"/>
    <w:rsid w:val="00815513"/>
    <w:rsid w:val="00821E7D"/>
    <w:rsid w:val="00841F6E"/>
    <w:rsid w:val="00850359"/>
    <w:rsid w:val="008646D1"/>
    <w:rsid w:val="00877577"/>
    <w:rsid w:val="00883A87"/>
    <w:rsid w:val="008C66CB"/>
    <w:rsid w:val="008D1FFC"/>
    <w:rsid w:val="008D23CB"/>
    <w:rsid w:val="008E180F"/>
    <w:rsid w:val="008E3D3B"/>
    <w:rsid w:val="00902C5C"/>
    <w:rsid w:val="00916E86"/>
    <w:rsid w:val="00942BD0"/>
    <w:rsid w:val="00955F1E"/>
    <w:rsid w:val="00973978"/>
    <w:rsid w:val="0099483B"/>
    <w:rsid w:val="009A34FD"/>
    <w:rsid w:val="009A3745"/>
    <w:rsid w:val="009B1E8E"/>
    <w:rsid w:val="009C799A"/>
    <w:rsid w:val="009E0787"/>
    <w:rsid w:val="009F2724"/>
    <w:rsid w:val="00A145B3"/>
    <w:rsid w:val="00A24DBD"/>
    <w:rsid w:val="00A351AF"/>
    <w:rsid w:val="00A42BC9"/>
    <w:rsid w:val="00A82970"/>
    <w:rsid w:val="00AB177A"/>
    <w:rsid w:val="00AB22A1"/>
    <w:rsid w:val="00AC2544"/>
    <w:rsid w:val="00AD1776"/>
    <w:rsid w:val="00AD22BE"/>
    <w:rsid w:val="00AE2750"/>
    <w:rsid w:val="00AF4DF6"/>
    <w:rsid w:val="00B0272F"/>
    <w:rsid w:val="00B100B3"/>
    <w:rsid w:val="00B12013"/>
    <w:rsid w:val="00B17052"/>
    <w:rsid w:val="00B22DFB"/>
    <w:rsid w:val="00B234CC"/>
    <w:rsid w:val="00B2588E"/>
    <w:rsid w:val="00B307E3"/>
    <w:rsid w:val="00B40E4F"/>
    <w:rsid w:val="00B41E02"/>
    <w:rsid w:val="00B44903"/>
    <w:rsid w:val="00B45C91"/>
    <w:rsid w:val="00B66EB1"/>
    <w:rsid w:val="00B713EC"/>
    <w:rsid w:val="00B75809"/>
    <w:rsid w:val="00B84EEF"/>
    <w:rsid w:val="00BB2DDB"/>
    <w:rsid w:val="00BC7396"/>
    <w:rsid w:val="00BD74CA"/>
    <w:rsid w:val="00BE1D41"/>
    <w:rsid w:val="00BE65ED"/>
    <w:rsid w:val="00BE755D"/>
    <w:rsid w:val="00BF4540"/>
    <w:rsid w:val="00BF4B81"/>
    <w:rsid w:val="00BF7F3E"/>
    <w:rsid w:val="00C01961"/>
    <w:rsid w:val="00C2005B"/>
    <w:rsid w:val="00C41130"/>
    <w:rsid w:val="00C5191A"/>
    <w:rsid w:val="00C608A6"/>
    <w:rsid w:val="00CA4DCC"/>
    <w:rsid w:val="00CB49B8"/>
    <w:rsid w:val="00CE52D2"/>
    <w:rsid w:val="00CF22D2"/>
    <w:rsid w:val="00D20056"/>
    <w:rsid w:val="00D25946"/>
    <w:rsid w:val="00D259C7"/>
    <w:rsid w:val="00D32FE9"/>
    <w:rsid w:val="00D34DCA"/>
    <w:rsid w:val="00D3701F"/>
    <w:rsid w:val="00D438A7"/>
    <w:rsid w:val="00D63A71"/>
    <w:rsid w:val="00D7116C"/>
    <w:rsid w:val="00D72F98"/>
    <w:rsid w:val="00D7794C"/>
    <w:rsid w:val="00D84D2F"/>
    <w:rsid w:val="00D975B2"/>
    <w:rsid w:val="00DA3BBC"/>
    <w:rsid w:val="00DD4DC3"/>
    <w:rsid w:val="00DD68E4"/>
    <w:rsid w:val="00E167C8"/>
    <w:rsid w:val="00E22289"/>
    <w:rsid w:val="00E303DA"/>
    <w:rsid w:val="00E4090A"/>
    <w:rsid w:val="00E428F0"/>
    <w:rsid w:val="00E429B6"/>
    <w:rsid w:val="00E54D01"/>
    <w:rsid w:val="00E5529C"/>
    <w:rsid w:val="00E618C8"/>
    <w:rsid w:val="00E64E63"/>
    <w:rsid w:val="00E72813"/>
    <w:rsid w:val="00E73312"/>
    <w:rsid w:val="00E74A60"/>
    <w:rsid w:val="00E75575"/>
    <w:rsid w:val="00E75721"/>
    <w:rsid w:val="00E9631F"/>
    <w:rsid w:val="00EB0489"/>
    <w:rsid w:val="00EB2FFE"/>
    <w:rsid w:val="00EB6948"/>
    <w:rsid w:val="00EC0001"/>
    <w:rsid w:val="00EC19D0"/>
    <w:rsid w:val="00ED052A"/>
    <w:rsid w:val="00EE2A5A"/>
    <w:rsid w:val="00EF0557"/>
    <w:rsid w:val="00EF474E"/>
    <w:rsid w:val="00F00574"/>
    <w:rsid w:val="00F05F7D"/>
    <w:rsid w:val="00F174AD"/>
    <w:rsid w:val="00F341A6"/>
    <w:rsid w:val="00F4676B"/>
    <w:rsid w:val="00F55AB2"/>
    <w:rsid w:val="00F61742"/>
    <w:rsid w:val="00F80607"/>
    <w:rsid w:val="00F92581"/>
    <w:rsid w:val="00FA3BDF"/>
    <w:rsid w:val="00FA72DD"/>
    <w:rsid w:val="00FB04EF"/>
    <w:rsid w:val="00FB3E84"/>
    <w:rsid w:val="00FB65F9"/>
    <w:rsid w:val="00FB73B0"/>
    <w:rsid w:val="00FC6633"/>
    <w:rsid w:val="00FD3FAE"/>
    <w:rsid w:val="00FF5E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B88CD9"/>
  <w15:docId w15:val="{8FBF7D9C-C4FD-40FE-B3BF-52964579D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1E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E8E"/>
    <w:rPr>
      <w:rFonts w:ascii="Tahoma" w:hAnsi="Tahoma" w:cs="Tahoma"/>
      <w:sz w:val="16"/>
      <w:szCs w:val="16"/>
    </w:rPr>
  </w:style>
  <w:style w:type="paragraph" w:styleId="ListParagraph">
    <w:name w:val="List Paragraph"/>
    <w:basedOn w:val="Normal"/>
    <w:uiPriority w:val="34"/>
    <w:qFormat/>
    <w:rsid w:val="00DD4DC3"/>
    <w:pPr>
      <w:ind w:left="720"/>
      <w:contextualSpacing/>
    </w:pPr>
  </w:style>
  <w:style w:type="character" w:styleId="CommentReference">
    <w:name w:val="annotation reference"/>
    <w:basedOn w:val="DefaultParagraphFont"/>
    <w:uiPriority w:val="99"/>
    <w:semiHidden/>
    <w:unhideWhenUsed/>
    <w:rsid w:val="001449A0"/>
    <w:rPr>
      <w:sz w:val="16"/>
      <w:szCs w:val="16"/>
    </w:rPr>
  </w:style>
  <w:style w:type="paragraph" w:styleId="CommentText">
    <w:name w:val="annotation text"/>
    <w:basedOn w:val="Normal"/>
    <w:link w:val="CommentTextChar"/>
    <w:uiPriority w:val="99"/>
    <w:semiHidden/>
    <w:unhideWhenUsed/>
    <w:rsid w:val="001449A0"/>
    <w:pPr>
      <w:spacing w:line="240" w:lineRule="auto"/>
    </w:pPr>
    <w:rPr>
      <w:sz w:val="20"/>
      <w:szCs w:val="20"/>
    </w:rPr>
  </w:style>
  <w:style w:type="character" w:customStyle="1" w:styleId="CommentTextChar">
    <w:name w:val="Comment Text Char"/>
    <w:basedOn w:val="DefaultParagraphFont"/>
    <w:link w:val="CommentText"/>
    <w:uiPriority w:val="99"/>
    <w:semiHidden/>
    <w:rsid w:val="001449A0"/>
    <w:rPr>
      <w:sz w:val="20"/>
      <w:szCs w:val="20"/>
    </w:rPr>
  </w:style>
  <w:style w:type="paragraph" w:styleId="CommentSubject">
    <w:name w:val="annotation subject"/>
    <w:basedOn w:val="CommentText"/>
    <w:next w:val="CommentText"/>
    <w:link w:val="CommentSubjectChar"/>
    <w:uiPriority w:val="99"/>
    <w:semiHidden/>
    <w:unhideWhenUsed/>
    <w:rsid w:val="001449A0"/>
    <w:rPr>
      <w:b/>
      <w:bCs/>
    </w:rPr>
  </w:style>
  <w:style w:type="character" w:customStyle="1" w:styleId="CommentSubjectChar">
    <w:name w:val="Comment Subject Char"/>
    <w:basedOn w:val="CommentTextChar"/>
    <w:link w:val="CommentSubject"/>
    <w:uiPriority w:val="99"/>
    <w:semiHidden/>
    <w:rsid w:val="001449A0"/>
    <w:rPr>
      <w:b/>
      <w:bCs/>
      <w:sz w:val="20"/>
      <w:szCs w:val="20"/>
    </w:rPr>
  </w:style>
  <w:style w:type="paragraph" w:styleId="Header">
    <w:name w:val="header"/>
    <w:basedOn w:val="Normal"/>
    <w:link w:val="HeaderChar"/>
    <w:uiPriority w:val="99"/>
    <w:unhideWhenUsed/>
    <w:rsid w:val="007325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5BA"/>
  </w:style>
  <w:style w:type="paragraph" w:styleId="Footer">
    <w:name w:val="footer"/>
    <w:basedOn w:val="Normal"/>
    <w:link w:val="FooterChar"/>
    <w:uiPriority w:val="99"/>
    <w:unhideWhenUsed/>
    <w:rsid w:val="007325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5BA"/>
  </w:style>
  <w:style w:type="table" w:styleId="TableGrid">
    <w:name w:val="Table Grid"/>
    <w:basedOn w:val="TableNormal"/>
    <w:uiPriority w:val="59"/>
    <w:rsid w:val="00623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62303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Grid1-Accent1">
    <w:name w:val="Medium Grid 1 Accent 1"/>
    <w:basedOn w:val="TableNormal"/>
    <w:uiPriority w:val="67"/>
    <w:rsid w:val="0062303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Revision">
    <w:name w:val="Revision"/>
    <w:hidden/>
    <w:uiPriority w:val="99"/>
    <w:semiHidden/>
    <w:rsid w:val="005D65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7123">
      <w:bodyDiv w:val="1"/>
      <w:marLeft w:val="0"/>
      <w:marRight w:val="0"/>
      <w:marTop w:val="0"/>
      <w:marBottom w:val="0"/>
      <w:divBdr>
        <w:top w:val="none" w:sz="0" w:space="0" w:color="auto"/>
        <w:left w:val="none" w:sz="0" w:space="0" w:color="auto"/>
        <w:bottom w:val="none" w:sz="0" w:space="0" w:color="auto"/>
        <w:right w:val="none" w:sz="0" w:space="0" w:color="auto"/>
      </w:divBdr>
    </w:div>
    <w:div w:id="365520419">
      <w:bodyDiv w:val="1"/>
      <w:marLeft w:val="0"/>
      <w:marRight w:val="0"/>
      <w:marTop w:val="0"/>
      <w:marBottom w:val="0"/>
      <w:divBdr>
        <w:top w:val="none" w:sz="0" w:space="0" w:color="auto"/>
        <w:left w:val="none" w:sz="0" w:space="0" w:color="auto"/>
        <w:bottom w:val="none" w:sz="0" w:space="0" w:color="auto"/>
        <w:right w:val="none" w:sz="0" w:space="0" w:color="auto"/>
      </w:divBdr>
    </w:div>
    <w:div w:id="425467496">
      <w:bodyDiv w:val="1"/>
      <w:marLeft w:val="0"/>
      <w:marRight w:val="0"/>
      <w:marTop w:val="0"/>
      <w:marBottom w:val="0"/>
      <w:divBdr>
        <w:top w:val="none" w:sz="0" w:space="0" w:color="auto"/>
        <w:left w:val="none" w:sz="0" w:space="0" w:color="auto"/>
        <w:bottom w:val="none" w:sz="0" w:space="0" w:color="auto"/>
        <w:right w:val="none" w:sz="0" w:space="0" w:color="auto"/>
      </w:divBdr>
    </w:div>
    <w:div w:id="642932175">
      <w:bodyDiv w:val="1"/>
      <w:marLeft w:val="0"/>
      <w:marRight w:val="0"/>
      <w:marTop w:val="0"/>
      <w:marBottom w:val="0"/>
      <w:divBdr>
        <w:top w:val="none" w:sz="0" w:space="0" w:color="auto"/>
        <w:left w:val="none" w:sz="0" w:space="0" w:color="auto"/>
        <w:bottom w:val="none" w:sz="0" w:space="0" w:color="auto"/>
        <w:right w:val="none" w:sz="0" w:space="0" w:color="auto"/>
      </w:divBdr>
    </w:div>
    <w:div w:id="667443437">
      <w:bodyDiv w:val="1"/>
      <w:marLeft w:val="0"/>
      <w:marRight w:val="0"/>
      <w:marTop w:val="0"/>
      <w:marBottom w:val="0"/>
      <w:divBdr>
        <w:top w:val="none" w:sz="0" w:space="0" w:color="auto"/>
        <w:left w:val="none" w:sz="0" w:space="0" w:color="auto"/>
        <w:bottom w:val="none" w:sz="0" w:space="0" w:color="auto"/>
        <w:right w:val="none" w:sz="0" w:space="0" w:color="auto"/>
      </w:divBdr>
    </w:div>
    <w:div w:id="692614988">
      <w:bodyDiv w:val="1"/>
      <w:marLeft w:val="0"/>
      <w:marRight w:val="0"/>
      <w:marTop w:val="0"/>
      <w:marBottom w:val="0"/>
      <w:divBdr>
        <w:top w:val="none" w:sz="0" w:space="0" w:color="auto"/>
        <w:left w:val="none" w:sz="0" w:space="0" w:color="auto"/>
        <w:bottom w:val="none" w:sz="0" w:space="0" w:color="auto"/>
        <w:right w:val="none" w:sz="0" w:space="0" w:color="auto"/>
      </w:divBdr>
    </w:div>
    <w:div w:id="771360180">
      <w:bodyDiv w:val="1"/>
      <w:marLeft w:val="0"/>
      <w:marRight w:val="0"/>
      <w:marTop w:val="0"/>
      <w:marBottom w:val="0"/>
      <w:divBdr>
        <w:top w:val="none" w:sz="0" w:space="0" w:color="auto"/>
        <w:left w:val="none" w:sz="0" w:space="0" w:color="auto"/>
        <w:bottom w:val="none" w:sz="0" w:space="0" w:color="auto"/>
        <w:right w:val="none" w:sz="0" w:space="0" w:color="auto"/>
      </w:divBdr>
    </w:div>
    <w:div w:id="1069232162">
      <w:bodyDiv w:val="1"/>
      <w:marLeft w:val="0"/>
      <w:marRight w:val="0"/>
      <w:marTop w:val="0"/>
      <w:marBottom w:val="0"/>
      <w:divBdr>
        <w:top w:val="none" w:sz="0" w:space="0" w:color="auto"/>
        <w:left w:val="none" w:sz="0" w:space="0" w:color="auto"/>
        <w:bottom w:val="none" w:sz="0" w:space="0" w:color="auto"/>
        <w:right w:val="none" w:sz="0" w:space="0" w:color="auto"/>
      </w:divBdr>
    </w:div>
    <w:div w:id="1142623420">
      <w:bodyDiv w:val="1"/>
      <w:marLeft w:val="0"/>
      <w:marRight w:val="0"/>
      <w:marTop w:val="0"/>
      <w:marBottom w:val="0"/>
      <w:divBdr>
        <w:top w:val="none" w:sz="0" w:space="0" w:color="auto"/>
        <w:left w:val="none" w:sz="0" w:space="0" w:color="auto"/>
        <w:bottom w:val="none" w:sz="0" w:space="0" w:color="auto"/>
        <w:right w:val="none" w:sz="0" w:space="0" w:color="auto"/>
      </w:divBdr>
      <w:divsChild>
        <w:div w:id="1657494059">
          <w:marLeft w:val="0"/>
          <w:marRight w:val="0"/>
          <w:marTop w:val="0"/>
          <w:marBottom w:val="0"/>
          <w:divBdr>
            <w:top w:val="none" w:sz="0" w:space="0" w:color="auto"/>
            <w:left w:val="none" w:sz="0" w:space="0" w:color="auto"/>
            <w:bottom w:val="none" w:sz="0" w:space="0" w:color="auto"/>
            <w:right w:val="none" w:sz="0" w:space="0" w:color="auto"/>
          </w:divBdr>
          <w:divsChild>
            <w:div w:id="2109084072">
              <w:marLeft w:val="0"/>
              <w:marRight w:val="0"/>
              <w:marTop w:val="225"/>
              <w:marBottom w:val="225"/>
              <w:divBdr>
                <w:top w:val="none" w:sz="0" w:space="0" w:color="auto"/>
                <w:left w:val="none" w:sz="0" w:space="0" w:color="auto"/>
                <w:bottom w:val="none" w:sz="0" w:space="0" w:color="auto"/>
                <w:right w:val="none" w:sz="0" w:space="0" w:color="auto"/>
              </w:divBdr>
              <w:divsChild>
                <w:div w:id="1125854938">
                  <w:marLeft w:val="0"/>
                  <w:marRight w:val="0"/>
                  <w:marTop w:val="0"/>
                  <w:marBottom w:val="0"/>
                  <w:divBdr>
                    <w:top w:val="none" w:sz="0" w:space="0" w:color="auto"/>
                    <w:left w:val="none" w:sz="0" w:space="0" w:color="auto"/>
                    <w:bottom w:val="none" w:sz="0" w:space="0" w:color="auto"/>
                    <w:right w:val="none" w:sz="0" w:space="0" w:color="auto"/>
                  </w:divBdr>
                  <w:divsChild>
                    <w:div w:id="1010374773">
                      <w:marLeft w:val="0"/>
                      <w:marRight w:val="0"/>
                      <w:marTop w:val="0"/>
                      <w:marBottom w:val="0"/>
                      <w:divBdr>
                        <w:top w:val="none" w:sz="0" w:space="0" w:color="auto"/>
                        <w:left w:val="none" w:sz="0" w:space="0" w:color="auto"/>
                        <w:bottom w:val="none" w:sz="0" w:space="0" w:color="auto"/>
                        <w:right w:val="none" w:sz="0" w:space="0" w:color="auto"/>
                      </w:divBdr>
                      <w:divsChild>
                        <w:div w:id="268321121">
                          <w:marLeft w:val="0"/>
                          <w:marRight w:val="0"/>
                          <w:marTop w:val="0"/>
                          <w:marBottom w:val="0"/>
                          <w:divBdr>
                            <w:top w:val="none" w:sz="0" w:space="0" w:color="auto"/>
                            <w:left w:val="none" w:sz="0" w:space="0" w:color="auto"/>
                            <w:bottom w:val="none" w:sz="0" w:space="0" w:color="auto"/>
                            <w:right w:val="none" w:sz="0" w:space="0" w:color="auto"/>
                          </w:divBdr>
                          <w:divsChild>
                            <w:div w:id="802771831">
                              <w:marLeft w:val="0"/>
                              <w:marRight w:val="0"/>
                              <w:marTop w:val="225"/>
                              <w:marBottom w:val="0"/>
                              <w:divBdr>
                                <w:top w:val="none" w:sz="0" w:space="0" w:color="auto"/>
                                <w:left w:val="none" w:sz="0" w:space="0" w:color="auto"/>
                                <w:bottom w:val="none" w:sz="0" w:space="0" w:color="auto"/>
                                <w:right w:val="none" w:sz="0" w:space="0" w:color="auto"/>
                              </w:divBdr>
                              <w:divsChild>
                                <w:div w:id="559439496">
                                  <w:marLeft w:val="0"/>
                                  <w:marRight w:val="0"/>
                                  <w:marTop w:val="0"/>
                                  <w:marBottom w:val="0"/>
                                  <w:divBdr>
                                    <w:top w:val="none" w:sz="0" w:space="0" w:color="auto"/>
                                    <w:left w:val="none" w:sz="0" w:space="0" w:color="auto"/>
                                    <w:bottom w:val="none" w:sz="0" w:space="0" w:color="auto"/>
                                    <w:right w:val="none" w:sz="0" w:space="0" w:color="auto"/>
                                  </w:divBdr>
                                  <w:divsChild>
                                    <w:div w:id="17631853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831178">
      <w:bodyDiv w:val="1"/>
      <w:marLeft w:val="0"/>
      <w:marRight w:val="0"/>
      <w:marTop w:val="0"/>
      <w:marBottom w:val="0"/>
      <w:divBdr>
        <w:top w:val="none" w:sz="0" w:space="0" w:color="auto"/>
        <w:left w:val="none" w:sz="0" w:space="0" w:color="auto"/>
        <w:bottom w:val="none" w:sz="0" w:space="0" w:color="auto"/>
        <w:right w:val="none" w:sz="0" w:space="0" w:color="auto"/>
      </w:divBdr>
    </w:div>
    <w:div w:id="1194150032">
      <w:bodyDiv w:val="1"/>
      <w:marLeft w:val="0"/>
      <w:marRight w:val="0"/>
      <w:marTop w:val="0"/>
      <w:marBottom w:val="0"/>
      <w:divBdr>
        <w:top w:val="none" w:sz="0" w:space="0" w:color="auto"/>
        <w:left w:val="none" w:sz="0" w:space="0" w:color="auto"/>
        <w:bottom w:val="none" w:sz="0" w:space="0" w:color="auto"/>
        <w:right w:val="none" w:sz="0" w:space="0" w:color="auto"/>
      </w:divBdr>
    </w:div>
    <w:div w:id="1219979871">
      <w:bodyDiv w:val="1"/>
      <w:marLeft w:val="0"/>
      <w:marRight w:val="0"/>
      <w:marTop w:val="0"/>
      <w:marBottom w:val="0"/>
      <w:divBdr>
        <w:top w:val="none" w:sz="0" w:space="0" w:color="auto"/>
        <w:left w:val="none" w:sz="0" w:space="0" w:color="auto"/>
        <w:bottom w:val="none" w:sz="0" w:space="0" w:color="auto"/>
        <w:right w:val="none" w:sz="0" w:space="0" w:color="auto"/>
      </w:divBdr>
    </w:div>
    <w:div w:id="1349990483">
      <w:bodyDiv w:val="1"/>
      <w:marLeft w:val="0"/>
      <w:marRight w:val="0"/>
      <w:marTop w:val="0"/>
      <w:marBottom w:val="0"/>
      <w:divBdr>
        <w:top w:val="none" w:sz="0" w:space="0" w:color="auto"/>
        <w:left w:val="none" w:sz="0" w:space="0" w:color="auto"/>
        <w:bottom w:val="none" w:sz="0" w:space="0" w:color="auto"/>
        <w:right w:val="none" w:sz="0" w:space="0" w:color="auto"/>
      </w:divBdr>
    </w:div>
    <w:div w:id="1454397925">
      <w:bodyDiv w:val="1"/>
      <w:marLeft w:val="0"/>
      <w:marRight w:val="0"/>
      <w:marTop w:val="0"/>
      <w:marBottom w:val="0"/>
      <w:divBdr>
        <w:top w:val="none" w:sz="0" w:space="0" w:color="auto"/>
        <w:left w:val="none" w:sz="0" w:space="0" w:color="auto"/>
        <w:bottom w:val="none" w:sz="0" w:space="0" w:color="auto"/>
        <w:right w:val="none" w:sz="0" w:space="0" w:color="auto"/>
      </w:divBdr>
    </w:div>
    <w:div w:id="1455519840">
      <w:bodyDiv w:val="1"/>
      <w:marLeft w:val="0"/>
      <w:marRight w:val="0"/>
      <w:marTop w:val="0"/>
      <w:marBottom w:val="0"/>
      <w:divBdr>
        <w:top w:val="none" w:sz="0" w:space="0" w:color="auto"/>
        <w:left w:val="none" w:sz="0" w:space="0" w:color="auto"/>
        <w:bottom w:val="none" w:sz="0" w:space="0" w:color="auto"/>
        <w:right w:val="none" w:sz="0" w:space="0" w:color="auto"/>
      </w:divBdr>
    </w:div>
    <w:div w:id="1536120784">
      <w:bodyDiv w:val="1"/>
      <w:marLeft w:val="0"/>
      <w:marRight w:val="0"/>
      <w:marTop w:val="0"/>
      <w:marBottom w:val="0"/>
      <w:divBdr>
        <w:top w:val="none" w:sz="0" w:space="0" w:color="auto"/>
        <w:left w:val="none" w:sz="0" w:space="0" w:color="auto"/>
        <w:bottom w:val="none" w:sz="0" w:space="0" w:color="auto"/>
        <w:right w:val="none" w:sz="0" w:space="0" w:color="auto"/>
      </w:divBdr>
    </w:div>
    <w:div w:id="1623346458">
      <w:bodyDiv w:val="1"/>
      <w:marLeft w:val="0"/>
      <w:marRight w:val="0"/>
      <w:marTop w:val="0"/>
      <w:marBottom w:val="0"/>
      <w:divBdr>
        <w:top w:val="none" w:sz="0" w:space="0" w:color="auto"/>
        <w:left w:val="none" w:sz="0" w:space="0" w:color="auto"/>
        <w:bottom w:val="none" w:sz="0" w:space="0" w:color="auto"/>
        <w:right w:val="none" w:sz="0" w:space="0" w:color="auto"/>
      </w:divBdr>
    </w:div>
    <w:div w:id="1783261794">
      <w:bodyDiv w:val="1"/>
      <w:marLeft w:val="0"/>
      <w:marRight w:val="0"/>
      <w:marTop w:val="0"/>
      <w:marBottom w:val="0"/>
      <w:divBdr>
        <w:top w:val="none" w:sz="0" w:space="0" w:color="auto"/>
        <w:left w:val="none" w:sz="0" w:space="0" w:color="auto"/>
        <w:bottom w:val="none" w:sz="0" w:space="0" w:color="auto"/>
        <w:right w:val="none" w:sz="0" w:space="0" w:color="auto"/>
      </w:divBdr>
    </w:div>
    <w:div w:id="1797019899">
      <w:bodyDiv w:val="1"/>
      <w:marLeft w:val="0"/>
      <w:marRight w:val="0"/>
      <w:marTop w:val="0"/>
      <w:marBottom w:val="0"/>
      <w:divBdr>
        <w:top w:val="none" w:sz="0" w:space="0" w:color="auto"/>
        <w:left w:val="none" w:sz="0" w:space="0" w:color="auto"/>
        <w:bottom w:val="none" w:sz="0" w:space="0" w:color="auto"/>
        <w:right w:val="none" w:sz="0" w:space="0" w:color="auto"/>
      </w:divBdr>
    </w:div>
    <w:div w:id="1827088685">
      <w:bodyDiv w:val="1"/>
      <w:marLeft w:val="0"/>
      <w:marRight w:val="0"/>
      <w:marTop w:val="0"/>
      <w:marBottom w:val="0"/>
      <w:divBdr>
        <w:top w:val="none" w:sz="0" w:space="0" w:color="auto"/>
        <w:left w:val="none" w:sz="0" w:space="0" w:color="auto"/>
        <w:bottom w:val="none" w:sz="0" w:space="0" w:color="auto"/>
        <w:right w:val="none" w:sz="0" w:space="0" w:color="auto"/>
      </w:divBdr>
    </w:div>
    <w:div w:id="1850750493">
      <w:bodyDiv w:val="1"/>
      <w:marLeft w:val="0"/>
      <w:marRight w:val="0"/>
      <w:marTop w:val="0"/>
      <w:marBottom w:val="0"/>
      <w:divBdr>
        <w:top w:val="none" w:sz="0" w:space="0" w:color="auto"/>
        <w:left w:val="none" w:sz="0" w:space="0" w:color="auto"/>
        <w:bottom w:val="none" w:sz="0" w:space="0" w:color="auto"/>
        <w:right w:val="none" w:sz="0" w:space="0" w:color="auto"/>
      </w:divBdr>
    </w:div>
    <w:div w:id="2003049354">
      <w:bodyDiv w:val="1"/>
      <w:marLeft w:val="0"/>
      <w:marRight w:val="0"/>
      <w:marTop w:val="0"/>
      <w:marBottom w:val="0"/>
      <w:divBdr>
        <w:top w:val="none" w:sz="0" w:space="0" w:color="auto"/>
        <w:left w:val="none" w:sz="0" w:space="0" w:color="auto"/>
        <w:bottom w:val="none" w:sz="0" w:space="0" w:color="auto"/>
        <w:right w:val="none" w:sz="0" w:space="0" w:color="auto"/>
      </w:divBdr>
    </w:div>
    <w:div w:id="210757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77D38-5766-4989-8783-70C5CA5E8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HCC</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Tuson, Stephen</dc:creator>
  <cp:lastModifiedBy>Aylott, Kelly</cp:lastModifiedBy>
  <cp:revision>31</cp:revision>
  <cp:lastPrinted>2017-10-17T15:41:00Z</cp:lastPrinted>
  <dcterms:created xsi:type="dcterms:W3CDTF">2021-09-17T10:24:00Z</dcterms:created>
  <dcterms:modified xsi:type="dcterms:W3CDTF">2022-04-28T11:02:00Z</dcterms:modified>
</cp:coreProperties>
</file>